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780" w:rsidRPr="00DE2106" w:rsidRDefault="004E7780" w:rsidP="004E7780">
      <w:pPr>
        <w:ind w:left="360"/>
        <w:jc w:val="center"/>
        <w:rPr>
          <w:rFonts w:ascii="彩虹粗仿宋" w:eastAsia="彩虹粗仿宋" w:hint="eastAsia"/>
          <w:b/>
          <w:color w:val="000000"/>
          <w:sz w:val="32"/>
          <w:szCs w:val="32"/>
        </w:rPr>
      </w:pPr>
      <w:r w:rsidRPr="0000530E">
        <w:rPr>
          <w:rFonts w:ascii="彩虹粗仿宋" w:eastAsia="彩虹粗仿宋" w:hint="eastAsia"/>
          <w:b/>
          <w:color w:val="000000"/>
          <w:sz w:val="32"/>
          <w:szCs w:val="32"/>
        </w:rPr>
        <w:t>中国建设银行“乾元—</w:t>
      </w:r>
      <w:proofErr w:type="gramStart"/>
      <w:r w:rsidRPr="0000530E">
        <w:rPr>
          <w:rFonts w:ascii="彩虹粗仿宋" w:eastAsia="彩虹粗仿宋" w:hint="eastAsia"/>
          <w:b/>
          <w:color w:val="000000"/>
          <w:sz w:val="32"/>
          <w:szCs w:val="32"/>
        </w:rPr>
        <w:t>鑫</w:t>
      </w:r>
      <w:proofErr w:type="gramEnd"/>
      <w:r w:rsidRPr="0000530E">
        <w:rPr>
          <w:rFonts w:ascii="彩虹粗仿宋" w:eastAsia="彩虹粗仿宋" w:hint="eastAsia"/>
          <w:b/>
          <w:color w:val="000000"/>
          <w:sz w:val="32"/>
          <w:szCs w:val="32"/>
        </w:rPr>
        <w:t>满溢足</w:t>
      </w:r>
      <w:r>
        <w:rPr>
          <w:rFonts w:ascii="彩虹粗仿宋" w:eastAsia="彩虹粗仿宋" w:hint="eastAsia"/>
          <w:b/>
          <w:color w:val="000000"/>
          <w:sz w:val="32"/>
          <w:szCs w:val="32"/>
        </w:rPr>
        <w:t>2号</w:t>
      </w:r>
      <w:r w:rsidRPr="0000530E">
        <w:rPr>
          <w:rFonts w:ascii="彩虹粗仿宋" w:eastAsia="彩虹粗仿宋" w:hint="eastAsia"/>
          <w:b/>
          <w:color w:val="000000"/>
          <w:sz w:val="32"/>
          <w:szCs w:val="32"/>
        </w:rPr>
        <w:t>”开放式净值型理财管理计划</w:t>
      </w:r>
      <w:r w:rsidRPr="00DE2106">
        <w:rPr>
          <w:rFonts w:ascii="彩虹粗仿宋" w:eastAsia="彩虹粗仿宋" w:hint="eastAsia"/>
          <w:b/>
          <w:color w:val="000000"/>
          <w:sz w:val="32"/>
          <w:szCs w:val="32"/>
        </w:rPr>
        <w:t>月度投资管理报告</w:t>
      </w:r>
    </w:p>
    <w:p w:rsidR="004E7780" w:rsidRPr="00DE2106" w:rsidRDefault="004E7780" w:rsidP="004E7780">
      <w:pPr>
        <w:spacing w:line="480" w:lineRule="exact"/>
        <w:ind w:firstLineChars="200" w:firstLine="420"/>
        <w:jc w:val="center"/>
        <w:rPr>
          <w:rFonts w:ascii="彩虹粗仿宋" w:eastAsia="彩虹粗仿宋" w:hAnsi="宋体" w:hint="eastAsia"/>
          <w:color w:val="000000"/>
          <w:szCs w:val="21"/>
        </w:rPr>
      </w:pPr>
      <w:r w:rsidRPr="00DE2106">
        <w:rPr>
          <w:rFonts w:ascii="彩虹粗仿宋" w:eastAsia="彩虹粗仿宋" w:hAnsi="宋体" w:hint="eastAsia"/>
          <w:color w:val="000000"/>
          <w:szCs w:val="21"/>
        </w:rPr>
        <w:t>报告日：201</w:t>
      </w:r>
      <w:r>
        <w:rPr>
          <w:rFonts w:ascii="彩虹粗仿宋" w:eastAsia="彩虹粗仿宋" w:hAnsi="宋体" w:hint="eastAsia"/>
          <w:color w:val="000000"/>
          <w:szCs w:val="21"/>
        </w:rPr>
        <w:t>7年5</w:t>
      </w:r>
      <w:r w:rsidRPr="00DE2106">
        <w:rPr>
          <w:rFonts w:ascii="彩虹粗仿宋" w:eastAsia="彩虹粗仿宋" w:hAnsi="宋体" w:hint="eastAsia"/>
          <w:color w:val="000000"/>
          <w:szCs w:val="21"/>
        </w:rPr>
        <w:t>月</w:t>
      </w:r>
      <w:r>
        <w:rPr>
          <w:rFonts w:ascii="彩虹粗仿宋" w:eastAsia="彩虹粗仿宋" w:hAnsi="宋体" w:hint="eastAsia"/>
          <w:color w:val="000000"/>
          <w:szCs w:val="21"/>
        </w:rPr>
        <w:t>31日</w:t>
      </w:r>
    </w:p>
    <w:p w:rsidR="004E7780" w:rsidRPr="00DE2106" w:rsidRDefault="004E7780" w:rsidP="004E7780">
      <w:pPr>
        <w:ind w:firstLineChars="200" w:firstLine="560"/>
        <w:rPr>
          <w:rFonts w:ascii="彩虹粗仿宋" w:eastAsia="彩虹粗仿宋" w:hAnsi="宋体" w:cs="宋体" w:hint="eastAsia"/>
          <w:bCs/>
          <w:color w:val="000000"/>
          <w:kern w:val="0"/>
          <w:sz w:val="28"/>
          <w:szCs w:val="28"/>
        </w:rPr>
      </w:pPr>
      <w:r w:rsidRPr="00F8772D">
        <w:rPr>
          <w:rFonts w:ascii="彩虹粗仿宋" w:eastAsia="彩虹粗仿宋" w:hAnsi="宋体" w:hint="eastAsia"/>
          <w:color w:val="000000"/>
          <w:sz w:val="28"/>
          <w:szCs w:val="28"/>
        </w:rPr>
        <w:t>“乾元-</w:t>
      </w:r>
      <w:proofErr w:type="gramStart"/>
      <w:r w:rsidRPr="00F8772D">
        <w:rPr>
          <w:rFonts w:ascii="彩虹粗仿宋" w:eastAsia="彩虹粗仿宋" w:hAnsi="宋体" w:hint="eastAsia"/>
          <w:color w:val="000000"/>
          <w:sz w:val="28"/>
          <w:szCs w:val="28"/>
        </w:rPr>
        <w:t>鑫</w:t>
      </w:r>
      <w:proofErr w:type="gramEnd"/>
      <w:r w:rsidRPr="00F8772D">
        <w:rPr>
          <w:rFonts w:ascii="彩虹粗仿宋" w:eastAsia="彩虹粗仿宋" w:hAnsi="宋体" w:hint="eastAsia"/>
          <w:color w:val="000000"/>
          <w:sz w:val="28"/>
          <w:szCs w:val="28"/>
        </w:rPr>
        <w:t>满溢足</w:t>
      </w:r>
      <w:r>
        <w:rPr>
          <w:rFonts w:ascii="彩虹粗仿宋" w:eastAsia="彩虹粗仿宋" w:hAnsi="宋体" w:hint="eastAsia"/>
          <w:color w:val="000000"/>
          <w:sz w:val="28"/>
          <w:szCs w:val="28"/>
        </w:rPr>
        <w:t>2号</w:t>
      </w:r>
      <w:r w:rsidRPr="00F8772D">
        <w:rPr>
          <w:rFonts w:ascii="彩虹粗仿宋" w:eastAsia="彩虹粗仿宋" w:hAnsi="宋体" w:hint="eastAsia"/>
          <w:color w:val="000000"/>
          <w:sz w:val="28"/>
          <w:szCs w:val="28"/>
        </w:rPr>
        <w:t>”净值型人民币理财产品于201</w:t>
      </w:r>
      <w:r>
        <w:rPr>
          <w:rFonts w:ascii="彩虹粗仿宋" w:eastAsia="彩虹粗仿宋" w:hAnsi="宋体" w:hint="eastAsia"/>
          <w:color w:val="000000"/>
          <w:sz w:val="28"/>
          <w:szCs w:val="28"/>
        </w:rPr>
        <w:t>6</w:t>
      </w:r>
      <w:r w:rsidRPr="00F8772D">
        <w:rPr>
          <w:rFonts w:ascii="彩虹粗仿宋" w:eastAsia="彩虹粗仿宋" w:hAnsi="宋体" w:hint="eastAsia"/>
          <w:color w:val="000000"/>
          <w:sz w:val="28"/>
          <w:szCs w:val="28"/>
        </w:rPr>
        <w:t>年</w:t>
      </w:r>
      <w:r>
        <w:rPr>
          <w:rFonts w:ascii="彩虹粗仿宋" w:eastAsia="彩虹粗仿宋" w:hAnsi="宋体" w:hint="eastAsia"/>
          <w:color w:val="000000"/>
          <w:sz w:val="28"/>
          <w:szCs w:val="28"/>
        </w:rPr>
        <w:t>8</w:t>
      </w:r>
      <w:r w:rsidRPr="00F8772D">
        <w:rPr>
          <w:rFonts w:ascii="彩虹粗仿宋" w:eastAsia="彩虹粗仿宋" w:hAnsi="宋体" w:hint="eastAsia"/>
          <w:color w:val="000000"/>
          <w:sz w:val="28"/>
          <w:szCs w:val="28"/>
        </w:rPr>
        <w:t>月</w:t>
      </w:r>
      <w:r>
        <w:rPr>
          <w:rFonts w:ascii="彩虹粗仿宋" w:eastAsia="彩虹粗仿宋" w:hAnsi="宋体" w:hint="eastAsia"/>
          <w:color w:val="000000"/>
          <w:sz w:val="28"/>
          <w:szCs w:val="28"/>
        </w:rPr>
        <w:t>22</w:t>
      </w:r>
      <w:r w:rsidRPr="00F8772D">
        <w:rPr>
          <w:rFonts w:ascii="彩虹粗仿宋" w:eastAsia="彩虹粗仿宋" w:hAnsi="宋体" w:hint="eastAsia"/>
          <w:color w:val="000000"/>
          <w:sz w:val="28"/>
          <w:szCs w:val="28"/>
        </w:rPr>
        <w:t>日正式成立，投资运作正常。截至报告日，目前本产品总资产规模为</w:t>
      </w:r>
      <w:r>
        <w:rPr>
          <w:rFonts w:ascii="彩虹粗仿宋" w:eastAsia="彩虹粗仿宋" w:hAnsi="宋体"/>
          <w:sz w:val="28"/>
          <w:szCs w:val="28"/>
        </w:rPr>
        <w:t>193,911,072.5</w:t>
      </w:r>
      <w:r>
        <w:rPr>
          <w:rFonts w:ascii="彩虹粗仿宋" w:eastAsia="彩虹粗仿宋" w:hAnsi="宋体" w:hint="eastAsia"/>
          <w:sz w:val="28"/>
          <w:szCs w:val="28"/>
        </w:rPr>
        <w:t>066</w:t>
      </w:r>
      <w:r w:rsidRPr="00963DC2">
        <w:rPr>
          <w:rFonts w:ascii="彩虹粗仿宋" w:eastAsia="彩虹粗仿宋" w:hAnsi="宋体" w:hint="eastAsia"/>
          <w:sz w:val="28"/>
          <w:szCs w:val="28"/>
        </w:rPr>
        <w:t>份</w:t>
      </w:r>
      <w:r>
        <w:rPr>
          <w:rFonts w:ascii="彩虹粗仿宋" w:eastAsia="彩虹粗仿宋" w:hAnsi="宋体" w:hint="eastAsia"/>
          <w:color w:val="000000"/>
          <w:sz w:val="28"/>
          <w:szCs w:val="28"/>
        </w:rPr>
        <w:t>。</w:t>
      </w:r>
    </w:p>
    <w:p w:rsidR="004E7780" w:rsidRPr="00DE2106" w:rsidRDefault="004E7780" w:rsidP="004E7780">
      <w:pPr>
        <w:ind w:firstLineChars="200" w:firstLine="562"/>
        <w:rPr>
          <w:rFonts w:ascii="彩虹粗仿宋" w:eastAsia="彩虹粗仿宋" w:hAnsi="宋体" w:hint="eastAsia"/>
          <w:b/>
          <w:color w:val="000000"/>
          <w:sz w:val="28"/>
          <w:szCs w:val="28"/>
        </w:rPr>
      </w:pPr>
      <w:r w:rsidRPr="00DE2106">
        <w:rPr>
          <w:rFonts w:ascii="彩虹粗仿宋" w:eastAsia="彩虹粗仿宋" w:hAnsi="宋体" w:hint="eastAsia"/>
          <w:b/>
          <w:color w:val="000000"/>
          <w:sz w:val="28"/>
          <w:szCs w:val="28"/>
        </w:rPr>
        <w:t>一、报告期投资者实际收益率</w:t>
      </w:r>
    </w:p>
    <w:p w:rsidR="004E7780" w:rsidRPr="00DE2106" w:rsidRDefault="004E7780" w:rsidP="004E7780">
      <w:pPr>
        <w:spacing w:line="480" w:lineRule="exact"/>
        <w:ind w:firstLineChars="200" w:firstLine="560"/>
        <w:rPr>
          <w:rFonts w:ascii="彩虹粗仿宋" w:eastAsia="彩虹粗仿宋" w:hAnsi="宋体" w:hint="eastAsia"/>
          <w:color w:val="000000"/>
          <w:sz w:val="28"/>
          <w:szCs w:val="28"/>
        </w:rPr>
      </w:pPr>
      <w:r>
        <w:rPr>
          <w:rFonts w:ascii="彩虹粗仿宋" w:eastAsia="彩虹粗仿宋" w:hAnsi="宋体" w:hint="eastAsia"/>
          <w:color w:val="000000"/>
          <w:sz w:val="28"/>
          <w:szCs w:val="28"/>
        </w:rPr>
        <w:t>截至</w:t>
      </w:r>
      <w:r w:rsidRPr="00EE2C86">
        <w:rPr>
          <w:rFonts w:ascii="彩虹粗仿宋" w:eastAsia="彩虹粗仿宋" w:hAnsi="宋体" w:hint="eastAsia"/>
          <w:color w:val="000000"/>
          <w:sz w:val="28"/>
          <w:szCs w:val="28"/>
        </w:rPr>
        <w:t>2017年</w:t>
      </w:r>
      <w:r>
        <w:rPr>
          <w:rFonts w:ascii="彩虹粗仿宋" w:eastAsia="彩虹粗仿宋" w:hAnsi="宋体" w:hint="eastAsia"/>
          <w:color w:val="000000"/>
          <w:sz w:val="28"/>
          <w:szCs w:val="28"/>
        </w:rPr>
        <w:t>5月31日，产品单位净值为0</w:t>
      </w:r>
      <w:r w:rsidRPr="00D5104B">
        <w:rPr>
          <w:rFonts w:ascii="彩虹粗仿宋" w:eastAsia="彩虹粗仿宋" w:hAnsi="宋体"/>
          <w:color w:val="000000"/>
          <w:sz w:val="28"/>
          <w:szCs w:val="28"/>
        </w:rPr>
        <w:t>.</w:t>
      </w:r>
      <w:r>
        <w:rPr>
          <w:rFonts w:ascii="彩虹粗仿宋" w:eastAsia="彩虹粗仿宋" w:hAnsi="宋体" w:hint="eastAsia"/>
          <w:color w:val="000000"/>
          <w:sz w:val="28"/>
          <w:szCs w:val="28"/>
        </w:rPr>
        <w:t>9865。</w:t>
      </w:r>
    </w:p>
    <w:p w:rsidR="004E7780" w:rsidRDefault="004E7780" w:rsidP="004E7780">
      <w:pPr>
        <w:spacing w:line="480" w:lineRule="exact"/>
        <w:ind w:firstLineChars="200" w:firstLine="560"/>
        <w:rPr>
          <w:rFonts w:ascii="彩虹粗仿宋" w:eastAsia="彩虹粗仿宋" w:hAnsi="宋体" w:hint="eastAsia"/>
          <w:color w:val="000000"/>
          <w:sz w:val="28"/>
          <w:szCs w:val="28"/>
        </w:rPr>
      </w:pPr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t>相关收益及计算方法，请具体查阅对应的收益率调整公告及产品说明书。</w:t>
      </w:r>
    </w:p>
    <w:p w:rsidR="004E7780" w:rsidRDefault="004E7780" w:rsidP="004E7780">
      <w:pPr>
        <w:spacing w:line="480" w:lineRule="exact"/>
        <w:ind w:firstLineChars="200" w:firstLine="562"/>
        <w:rPr>
          <w:rFonts w:ascii="彩虹粗仿宋" w:eastAsia="彩虹粗仿宋" w:hAnsi="宋体" w:hint="eastAsia"/>
          <w:b/>
          <w:color w:val="000000"/>
          <w:sz w:val="28"/>
          <w:szCs w:val="28"/>
        </w:rPr>
      </w:pPr>
      <w:r w:rsidRPr="00DE2106">
        <w:rPr>
          <w:rFonts w:ascii="彩虹粗仿宋" w:eastAsia="彩虹粗仿宋" w:hAnsi="宋体" w:hint="eastAsia"/>
          <w:b/>
          <w:color w:val="000000"/>
          <w:sz w:val="28"/>
          <w:szCs w:val="28"/>
        </w:rPr>
        <w:t>二、产品投资组合详细情况</w:t>
      </w:r>
    </w:p>
    <w:p w:rsidR="004E7780" w:rsidRPr="00DE2106" w:rsidRDefault="004E7780" w:rsidP="004E7780">
      <w:pPr>
        <w:spacing w:line="480" w:lineRule="exact"/>
        <w:ind w:firstLineChars="200" w:firstLine="562"/>
        <w:rPr>
          <w:rFonts w:ascii="彩虹粗仿宋" w:eastAsia="彩虹粗仿宋" w:hAnsi="宋体" w:hint="eastAsia"/>
          <w:b/>
          <w:color w:val="000000"/>
          <w:sz w:val="28"/>
          <w:szCs w:val="28"/>
        </w:rPr>
      </w:pPr>
      <w:r>
        <w:rPr>
          <w:rFonts w:ascii="彩虹粗仿宋" w:eastAsia="彩虹粗仿宋" w:hAnsi="宋体" w:hint="eastAsia"/>
          <w:b/>
          <w:color w:val="000000"/>
          <w:sz w:val="28"/>
          <w:szCs w:val="28"/>
        </w:rPr>
        <w:t>（</w:t>
      </w:r>
      <w:r w:rsidRPr="00DE2106">
        <w:rPr>
          <w:rFonts w:ascii="彩虹粗仿宋" w:eastAsia="彩虹粗仿宋" w:hAnsi="宋体" w:hint="eastAsia"/>
          <w:b/>
          <w:color w:val="000000"/>
          <w:sz w:val="28"/>
          <w:szCs w:val="28"/>
        </w:rPr>
        <w:t>一）投资组合的基本情况</w:t>
      </w:r>
    </w:p>
    <w:p w:rsidR="004E7780" w:rsidRPr="0000530E" w:rsidRDefault="004E7780" w:rsidP="004E7780">
      <w:pPr>
        <w:ind w:firstLineChars="200" w:firstLine="560"/>
        <w:rPr>
          <w:rFonts w:ascii="彩虹粗仿宋" w:eastAsia="彩虹粗仿宋" w:hAnsi="宋体" w:hint="eastAsia"/>
          <w:color w:val="000000"/>
          <w:sz w:val="28"/>
          <w:szCs w:val="28"/>
        </w:rPr>
      </w:pPr>
      <w:r>
        <w:rPr>
          <w:rFonts w:ascii="彩虹粗仿宋" w:eastAsia="彩虹粗仿宋" w:hAnsi="宋体" w:hint="eastAsia"/>
          <w:color w:val="000000"/>
          <w:sz w:val="28"/>
          <w:szCs w:val="28"/>
        </w:rPr>
        <w:t>截至2017年5月31日，本产品的资金实际全部投资于现金、债券、股票、基金、买入返售金融资产等。</w:t>
      </w:r>
    </w:p>
    <w:p w:rsidR="004E7780" w:rsidRPr="002E2785" w:rsidRDefault="004E7780" w:rsidP="004E7780">
      <w:pPr>
        <w:spacing w:line="480" w:lineRule="exact"/>
        <w:ind w:firstLineChars="200" w:firstLine="562"/>
        <w:rPr>
          <w:rFonts w:ascii="彩虹粗仿宋" w:eastAsia="彩虹粗仿宋" w:hAnsi="宋体" w:hint="eastAsia"/>
          <w:b/>
          <w:color w:val="000000"/>
          <w:sz w:val="28"/>
          <w:szCs w:val="28"/>
        </w:rPr>
      </w:pPr>
      <w:r>
        <w:rPr>
          <w:rFonts w:ascii="彩虹粗仿宋" w:eastAsia="彩虹粗仿宋" w:hAnsi="宋体" w:hint="eastAsia"/>
          <w:b/>
          <w:color w:val="000000"/>
          <w:sz w:val="28"/>
          <w:szCs w:val="28"/>
        </w:rPr>
        <w:t>（二）投资组合分布基本情况</w:t>
      </w:r>
    </w:p>
    <w:p w:rsidR="004E7780" w:rsidRDefault="004E7780" w:rsidP="004E7780">
      <w:pPr>
        <w:jc w:val="center"/>
        <w:rPr>
          <w:rFonts w:ascii="彩虹粗仿宋" w:eastAsia="彩虹粗仿宋" w:hint="eastAsia"/>
        </w:rPr>
      </w:pPr>
      <w:r>
        <w:rPr>
          <w:rFonts w:ascii="彩虹粗仿宋" w:eastAsia="彩虹粗仿宋"/>
          <w:noProof/>
        </w:rPr>
        <w:drawing>
          <wp:inline distT="0" distB="0" distL="0" distR="0">
            <wp:extent cx="5487151" cy="3032376"/>
            <wp:effectExtent l="12199" t="6099" r="6100" b="0"/>
            <wp:docPr id="1" name="图表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4E7780" w:rsidRPr="00DE2106" w:rsidRDefault="004E7780" w:rsidP="004E7780">
      <w:pPr>
        <w:rPr>
          <w:rFonts w:ascii="彩虹粗仿宋" w:eastAsia="彩虹粗仿宋" w:hint="eastAsia"/>
        </w:rPr>
      </w:pPr>
    </w:p>
    <w:p w:rsidR="004E7780" w:rsidRPr="00DE2106" w:rsidRDefault="004E7780" w:rsidP="004E7780">
      <w:pPr>
        <w:tabs>
          <w:tab w:val="left" w:pos="5510"/>
        </w:tabs>
        <w:ind w:firstLineChars="100" w:firstLine="281"/>
        <w:rPr>
          <w:rFonts w:ascii="彩虹粗仿宋" w:eastAsia="彩虹粗仿宋" w:hAnsi="宋体" w:hint="eastAsia"/>
          <w:b/>
          <w:color w:val="000000"/>
          <w:sz w:val="28"/>
          <w:szCs w:val="28"/>
        </w:rPr>
      </w:pPr>
      <w:r>
        <w:rPr>
          <w:rFonts w:ascii="彩虹粗仿宋" w:eastAsia="彩虹粗仿宋" w:hAnsi="宋体" w:hint="eastAsia"/>
          <w:b/>
          <w:color w:val="000000"/>
          <w:sz w:val="28"/>
          <w:szCs w:val="28"/>
        </w:rPr>
        <w:lastRenderedPageBreak/>
        <w:t>（三）债券类资产投资情况</w:t>
      </w:r>
      <w:r>
        <w:rPr>
          <w:rFonts w:ascii="彩虹粗仿宋" w:eastAsia="彩虹粗仿宋" w:hAnsi="宋体"/>
          <w:b/>
          <w:color w:val="000000"/>
          <w:sz w:val="28"/>
          <w:szCs w:val="28"/>
        </w:rPr>
        <w:tab/>
      </w:r>
    </w:p>
    <w:p w:rsidR="004E7780" w:rsidRPr="00C645FC" w:rsidRDefault="004E7780" w:rsidP="004E7780">
      <w:pPr>
        <w:ind w:firstLineChars="152" w:firstLine="426"/>
        <w:jc w:val="left"/>
        <w:rPr>
          <w:rFonts w:ascii="彩虹粗仿宋" w:eastAsia="彩虹粗仿宋" w:hAnsi="宋体" w:hint="eastAsia"/>
          <w:color w:val="000000"/>
          <w:sz w:val="28"/>
          <w:szCs w:val="28"/>
        </w:rPr>
      </w:pPr>
      <w:r>
        <w:rPr>
          <w:rFonts w:ascii="彩虹粗仿宋" w:eastAsia="彩虹粗仿宋" w:hAnsi="宋体" w:hint="eastAsia"/>
          <w:color w:val="000000"/>
          <w:sz w:val="28"/>
          <w:szCs w:val="28"/>
        </w:rPr>
        <w:t>信用债投资余额：1.06亿元，信用债评级情况如下：</w:t>
      </w:r>
    </w:p>
    <w:p w:rsidR="004E7780" w:rsidRPr="00DE2106" w:rsidRDefault="004E7780" w:rsidP="004E7780">
      <w:pPr>
        <w:jc w:val="center"/>
        <w:rPr>
          <w:rFonts w:ascii="彩虹粗仿宋" w:eastAsia="彩虹粗仿宋" w:hAnsi="宋体" w:hint="eastAsia"/>
          <w:color w:val="000000"/>
          <w:sz w:val="28"/>
          <w:szCs w:val="28"/>
        </w:rPr>
      </w:pPr>
      <w:r>
        <w:rPr>
          <w:rFonts w:ascii="彩虹粗仿宋" w:eastAsia="彩虹粗仿宋" w:hAnsi="宋体"/>
          <w:noProof/>
          <w:color w:val="000000"/>
          <w:sz w:val="28"/>
          <w:szCs w:val="28"/>
        </w:rPr>
        <w:drawing>
          <wp:inline distT="0" distB="0" distL="0" distR="0">
            <wp:extent cx="4572750" cy="2744509"/>
            <wp:effectExtent l="12200" t="6099" r="6100" b="2117"/>
            <wp:docPr id="2" name="图表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4E7780" w:rsidRPr="00DE2106" w:rsidRDefault="004E7780" w:rsidP="004E7780">
      <w:pPr>
        <w:spacing w:line="480" w:lineRule="exact"/>
        <w:rPr>
          <w:rFonts w:ascii="彩虹粗仿宋" w:eastAsia="彩虹粗仿宋" w:hAnsi="宋体" w:hint="eastAsia"/>
          <w:color w:val="000000"/>
          <w:sz w:val="28"/>
          <w:szCs w:val="28"/>
        </w:rPr>
      </w:pPr>
      <w:r w:rsidRPr="00DE2106">
        <w:rPr>
          <w:rFonts w:ascii="彩虹粗仿宋" w:eastAsia="彩虹粗仿宋" w:hAnsi="宋体" w:hint="eastAsia"/>
          <w:b/>
          <w:color w:val="000000"/>
          <w:sz w:val="28"/>
          <w:szCs w:val="28"/>
        </w:rPr>
        <w:t xml:space="preserve">    三、产品整体运作情况</w:t>
      </w:r>
    </w:p>
    <w:p w:rsidR="004E7780" w:rsidRPr="00DE2106" w:rsidRDefault="004E7780" w:rsidP="004E7780">
      <w:pPr>
        <w:spacing w:line="480" w:lineRule="exact"/>
        <w:ind w:firstLineChars="200" w:firstLine="560"/>
        <w:rPr>
          <w:rFonts w:ascii="彩虹粗仿宋" w:eastAsia="彩虹粗仿宋" w:hAnsi="宋体" w:hint="eastAsia"/>
          <w:color w:val="000000"/>
          <w:sz w:val="28"/>
          <w:szCs w:val="28"/>
        </w:rPr>
      </w:pPr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t>（1）自本产品成立起至本报告日，产品管理人恪尽职守、勤勉尽责、谨慎管理，忠实履行有关法律、行政法规和相关文件的规定。</w:t>
      </w:r>
    </w:p>
    <w:p w:rsidR="004E7780" w:rsidRPr="00DE2106" w:rsidRDefault="004E7780" w:rsidP="004E7780">
      <w:pPr>
        <w:spacing w:line="480" w:lineRule="exact"/>
        <w:ind w:firstLineChars="200" w:firstLine="560"/>
        <w:rPr>
          <w:rFonts w:ascii="彩虹粗仿宋" w:eastAsia="彩虹粗仿宋" w:hAnsi="宋体" w:hint="eastAsia"/>
          <w:color w:val="000000"/>
          <w:sz w:val="28"/>
          <w:szCs w:val="28"/>
        </w:rPr>
      </w:pPr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t>（2）截至本报告日，所有投资资产正常运营，未发现有异常情况或者不利情况。</w:t>
      </w:r>
    </w:p>
    <w:p w:rsidR="004E7780" w:rsidRPr="00DE2106" w:rsidRDefault="004E7780" w:rsidP="004E7780">
      <w:pPr>
        <w:spacing w:line="480" w:lineRule="exact"/>
        <w:ind w:firstLineChars="200" w:firstLine="560"/>
        <w:rPr>
          <w:rFonts w:ascii="彩虹粗仿宋" w:eastAsia="彩虹粗仿宋" w:hAnsi="宋体" w:hint="eastAsia"/>
          <w:color w:val="000000"/>
          <w:sz w:val="28"/>
          <w:szCs w:val="28"/>
        </w:rPr>
      </w:pPr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t>（3）本产品自成立至本报告日，没有发生涉诉及诉讼等损害投资者利益的情形。</w:t>
      </w:r>
    </w:p>
    <w:p w:rsidR="004E7780" w:rsidRPr="00DE2106" w:rsidRDefault="004E7780" w:rsidP="004E7780">
      <w:pPr>
        <w:spacing w:line="480" w:lineRule="exact"/>
        <w:ind w:right="362" w:firstLineChars="2050" w:firstLine="5740"/>
        <w:jc w:val="right"/>
        <w:rPr>
          <w:rFonts w:ascii="彩虹粗仿宋" w:eastAsia="彩虹粗仿宋" w:hAnsi="宋体" w:hint="eastAsia"/>
          <w:color w:val="000000"/>
          <w:sz w:val="28"/>
          <w:szCs w:val="28"/>
        </w:rPr>
      </w:pPr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t>中国建设银行</w:t>
      </w:r>
    </w:p>
    <w:p w:rsidR="004E7780" w:rsidRPr="00DE2106" w:rsidRDefault="004E7780" w:rsidP="004E7780">
      <w:pPr>
        <w:spacing w:line="480" w:lineRule="exact"/>
        <w:ind w:right="222" w:firstLineChars="200" w:firstLine="560"/>
        <w:jc w:val="right"/>
        <w:rPr>
          <w:rFonts w:ascii="彩虹粗仿宋" w:eastAsia="彩虹粗仿宋" w:hAnsi="宋体" w:hint="eastAsia"/>
          <w:color w:val="000000"/>
          <w:sz w:val="28"/>
          <w:szCs w:val="28"/>
        </w:rPr>
      </w:pPr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t>201</w:t>
      </w:r>
      <w:r>
        <w:rPr>
          <w:rFonts w:ascii="彩虹粗仿宋" w:eastAsia="彩虹粗仿宋" w:hAnsi="宋体" w:hint="eastAsia"/>
          <w:color w:val="000000"/>
          <w:sz w:val="28"/>
          <w:szCs w:val="28"/>
        </w:rPr>
        <w:t>7</w:t>
      </w:r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t>年</w:t>
      </w:r>
      <w:r>
        <w:rPr>
          <w:rFonts w:ascii="彩虹粗仿宋" w:eastAsia="彩虹粗仿宋" w:hAnsi="宋体" w:hint="eastAsia"/>
          <w:color w:val="000000"/>
          <w:sz w:val="28"/>
          <w:szCs w:val="28"/>
        </w:rPr>
        <w:t>6月1日</w:t>
      </w:r>
    </w:p>
    <w:p w:rsidR="004E7780" w:rsidRPr="00DE2106" w:rsidRDefault="004E7780" w:rsidP="004E7780">
      <w:pPr>
        <w:rPr>
          <w:rFonts w:ascii="彩虹粗仿宋" w:eastAsia="彩虹粗仿宋" w:hint="eastAsia"/>
          <w:b/>
          <w:color w:val="000000"/>
          <w:sz w:val="32"/>
          <w:szCs w:val="32"/>
        </w:rPr>
      </w:pPr>
    </w:p>
    <w:p w:rsidR="004E7780" w:rsidRPr="00272BB5" w:rsidRDefault="004E7780" w:rsidP="004E7780">
      <w:pPr>
        <w:spacing w:line="480" w:lineRule="exact"/>
        <w:ind w:firstLineChars="200" w:firstLine="562"/>
        <w:rPr>
          <w:rFonts w:ascii="彩虹粗仿宋" w:eastAsia="彩虹粗仿宋" w:hAnsi="宋体" w:hint="eastAsia"/>
          <w:b/>
          <w:color w:val="000000"/>
          <w:sz w:val="28"/>
          <w:szCs w:val="28"/>
        </w:rPr>
      </w:pPr>
    </w:p>
    <w:p w:rsidR="004E7780" w:rsidRDefault="004E7780" w:rsidP="004E7780">
      <w:pPr>
        <w:rPr>
          <w:rFonts w:ascii="彩虹粗仿宋" w:eastAsia="彩虹粗仿宋" w:hAnsi="宋体" w:hint="eastAsia"/>
          <w:b/>
          <w:color w:val="000000"/>
          <w:sz w:val="28"/>
          <w:szCs w:val="28"/>
        </w:rPr>
      </w:pPr>
    </w:p>
    <w:p w:rsidR="004E7780" w:rsidRDefault="004E7780" w:rsidP="004E7780">
      <w:pPr>
        <w:rPr>
          <w:rFonts w:ascii="彩虹粗仿宋" w:eastAsia="彩虹粗仿宋" w:hAnsi="宋体" w:hint="eastAsia"/>
          <w:b/>
          <w:color w:val="000000"/>
          <w:sz w:val="28"/>
          <w:szCs w:val="28"/>
        </w:rPr>
      </w:pPr>
    </w:p>
    <w:p w:rsidR="006C74E7" w:rsidRDefault="006C74E7"/>
    <w:sectPr w:rsidR="006C74E7" w:rsidSect="006C74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彩虹粗仿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4E7780"/>
    <w:rsid w:val="004E7780"/>
    <w:rsid w:val="006C74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78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E778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E7780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huxiaocheng.CCBCAPITAL\Desktop\&#26631;&#20934;&#21270;&#25237;&#30740;\1-&#20135;&#21697;&#25237;&#21518;\17-05-31\&#24314;&#20449;&#36164;&#26412;&#23433;&#37995;1&#12289;2&#21495;&#65293;&#25237;&#21518;&#31649;&#29702;&#21488;&#36134;&#12304;2017-05-31&#12305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huxiaocheng.CCBCAPITAL\Desktop\&#26631;&#20934;&#21270;&#25237;&#30740;\1-&#20135;&#21697;&#25237;&#21518;\17-05-31\&#24314;&#20449;&#36164;&#26412;&#23433;&#37995;1&#12289;2&#21495;&#65293;&#25237;&#21518;&#31649;&#29702;&#21488;&#36134;&#12304;2017-05-31&#12305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chart>
    <c:title>
      <c:tx>
        <c:rich>
          <a:bodyPr/>
          <a:lstStyle/>
          <a:p>
            <a:pPr>
              <a:defRPr>
                <a:latin typeface="彩虹粗仿宋" pitchFamily="65" charset="-122"/>
                <a:ea typeface="彩虹粗仿宋" pitchFamily="65" charset="-122"/>
              </a:defRPr>
            </a:pPr>
            <a:r>
              <a:rPr lang="zh-CN" altLang="en-US">
                <a:latin typeface="彩虹粗仿宋" pitchFamily="65" charset="-122"/>
                <a:ea typeface="彩虹粗仿宋" pitchFamily="65" charset="-122"/>
              </a:rPr>
              <a:t>投资资产分布情况</a:t>
            </a:r>
          </a:p>
        </c:rich>
      </c:tx>
      <c:layout/>
    </c:title>
    <c:view3D>
      <c:rotX val="30"/>
      <c:perspective val="30"/>
    </c:view3D>
    <c:plotArea>
      <c:layout/>
      <c:pie3DChart>
        <c:varyColors val="1"/>
        <c:ser>
          <c:idx val="0"/>
          <c:order val="0"/>
          <c:dLbls>
            <c:txPr>
              <a:bodyPr/>
              <a:lstStyle/>
              <a:p>
                <a:pPr>
                  <a:defRPr sz="1400">
                    <a:latin typeface="彩虹粗仿宋" pitchFamily="65" charset="-122"/>
                    <a:ea typeface="彩虹粗仿宋" pitchFamily="65" charset="-122"/>
                  </a:defRPr>
                </a:pPr>
                <a:endParaRPr lang="zh-CN"/>
              </a:p>
            </c:txPr>
            <c:showPercent val="1"/>
            <c:showLeaderLines val="1"/>
          </c:dLbls>
          <c:cat>
            <c:strRef>
              <c:f>安鑫1号!$D$148:$D$153</c:f>
              <c:strCache>
                <c:ptCount val="6"/>
                <c:pt idx="0">
                  <c:v>债券投资</c:v>
                </c:pt>
                <c:pt idx="1">
                  <c:v>买入返售金融资产</c:v>
                </c:pt>
                <c:pt idx="2">
                  <c:v>基金投资</c:v>
                </c:pt>
                <c:pt idx="3">
                  <c:v>现金类资产</c:v>
                </c:pt>
                <c:pt idx="4">
                  <c:v>应收利息</c:v>
                </c:pt>
                <c:pt idx="5">
                  <c:v>股票投资</c:v>
                </c:pt>
              </c:strCache>
            </c:strRef>
          </c:cat>
          <c:val>
            <c:numRef>
              <c:f>安鑫1号!$E$148:$E$153</c:f>
              <c:numCache>
                <c:formatCode>0.00%</c:formatCode>
                <c:ptCount val="6"/>
                <c:pt idx="0">
                  <c:v>0.4962230027488328</c:v>
                </c:pt>
                <c:pt idx="1">
                  <c:v>0.34247361030481055</c:v>
                </c:pt>
                <c:pt idx="2">
                  <c:v>0.10448047288628762</c:v>
                </c:pt>
                <c:pt idx="3">
                  <c:v>3.5880202089331258E-2</c:v>
                </c:pt>
                <c:pt idx="4">
                  <c:v>1.8359484093257477E-2</c:v>
                </c:pt>
                <c:pt idx="5">
                  <c:v>2.5841739348567232E-3</c:v>
                </c:pt>
              </c:numCache>
            </c:numRef>
          </c:val>
        </c:ser>
        <c:dLbls>
          <c:showPercent val="1"/>
        </c:dLbls>
      </c:pie3DChart>
    </c:plotArea>
    <c:legend>
      <c:legendPos val="r"/>
      <c:layout/>
      <c:txPr>
        <a:bodyPr/>
        <a:lstStyle/>
        <a:p>
          <a:pPr>
            <a:defRPr sz="1400">
              <a:latin typeface="彩虹粗仿宋" pitchFamily="65" charset="-122"/>
              <a:ea typeface="彩虹粗仿宋" pitchFamily="65" charset="-122"/>
            </a:defRPr>
          </a:pPr>
          <a:endParaRPr lang="zh-CN"/>
        </a:p>
      </c:txPr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chart>
    <c:title>
      <c:tx>
        <c:rich>
          <a:bodyPr/>
          <a:lstStyle/>
          <a:p>
            <a:pPr>
              <a:defRPr>
                <a:latin typeface="彩虹粗仿宋" pitchFamily="65" charset="-122"/>
                <a:ea typeface="彩虹粗仿宋" pitchFamily="65" charset="-122"/>
              </a:defRPr>
            </a:pPr>
            <a:r>
              <a:rPr lang="zh-CN" altLang="en-US">
                <a:latin typeface="彩虹粗仿宋" pitchFamily="65" charset="-122"/>
                <a:ea typeface="彩虹粗仿宋" pitchFamily="65" charset="-122"/>
              </a:rPr>
              <a:t>信用债评级分布</a:t>
            </a:r>
          </a:p>
        </c:rich>
      </c:tx>
    </c:title>
    <c:view3D>
      <c:rotX val="30"/>
      <c:perspective val="30"/>
    </c:view3D>
    <c:plotArea>
      <c:layout/>
      <c:pie3DChart>
        <c:varyColors val="1"/>
        <c:ser>
          <c:idx val="0"/>
          <c:order val="0"/>
          <c:dLbls>
            <c:txPr>
              <a:bodyPr/>
              <a:lstStyle/>
              <a:p>
                <a:pPr>
                  <a:defRPr sz="1600">
                    <a:latin typeface="彩虹粗仿宋" pitchFamily="65" charset="-122"/>
                    <a:ea typeface="彩虹粗仿宋" pitchFamily="65" charset="-122"/>
                  </a:defRPr>
                </a:pPr>
                <a:endParaRPr lang="zh-CN"/>
              </a:p>
            </c:txPr>
            <c:showPercent val="1"/>
            <c:showLeaderLines val="1"/>
          </c:dLbls>
          <c:cat>
            <c:strRef>
              <c:f>安鑫1号!$N$33:$N$34</c:f>
              <c:strCache>
                <c:ptCount val="2"/>
                <c:pt idx="0">
                  <c:v>AA+</c:v>
                </c:pt>
                <c:pt idx="1">
                  <c:v>AA</c:v>
                </c:pt>
              </c:strCache>
            </c:strRef>
          </c:cat>
          <c:val>
            <c:numRef>
              <c:f>安鑫1号!$P$33:$P$34</c:f>
              <c:numCache>
                <c:formatCode>0.00%</c:formatCode>
                <c:ptCount val="2"/>
                <c:pt idx="0">
                  <c:v>0.28325785357872274</c:v>
                </c:pt>
                <c:pt idx="1">
                  <c:v>0.71674214642127743</c:v>
                </c:pt>
              </c:numCache>
            </c:numRef>
          </c:val>
        </c:ser>
        <c:dLbls>
          <c:showPercent val="1"/>
        </c:dLbls>
      </c:pie3DChart>
    </c:plotArea>
    <c:legend>
      <c:legendPos val="r"/>
      <c:txPr>
        <a:bodyPr/>
        <a:lstStyle/>
        <a:p>
          <a:pPr>
            <a:defRPr sz="1600">
              <a:latin typeface="彩虹粗仿宋" pitchFamily="65" charset="-122"/>
              <a:ea typeface="彩虹粗仿宋" pitchFamily="65" charset="-122"/>
            </a:defRPr>
          </a:pPr>
          <a:endParaRPr lang="zh-CN"/>
        </a:p>
      </c:txPr>
    </c:legend>
    <c:plotVisOnly val="1"/>
  </c:chart>
  <c:externalData r:id="rId1"/>
</c:chartSpac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汪帅</dc:creator>
  <cp:lastModifiedBy>汪帅</cp:lastModifiedBy>
  <cp:revision>1</cp:revision>
  <dcterms:created xsi:type="dcterms:W3CDTF">2017-06-02T07:49:00Z</dcterms:created>
  <dcterms:modified xsi:type="dcterms:W3CDTF">2017-06-02T07:50:00Z</dcterms:modified>
</cp:coreProperties>
</file>