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E" w:rsidRPr="00986C29" w:rsidRDefault="000E6D6E" w:rsidP="000E6D6E">
      <w:pPr>
        <w:jc w:val="center"/>
        <w:rPr>
          <w:b/>
          <w:color w:val="000000"/>
          <w:sz w:val="32"/>
          <w:szCs w:val="32"/>
        </w:rPr>
      </w:pPr>
      <w:r w:rsidRPr="00986C29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0E6D6E" w:rsidRPr="00986C29" w:rsidRDefault="000E6D6E" w:rsidP="000E6D6E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986C29"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 w:hint="eastAsia"/>
          <w:color w:val="000000"/>
          <w:szCs w:val="21"/>
        </w:rPr>
        <w:t>2017</w:t>
      </w:r>
      <w:r w:rsidRPr="00986C29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6</w:t>
      </w:r>
      <w:r w:rsidRPr="00986C29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30</w:t>
      </w:r>
      <w:r w:rsidRPr="00986C29">
        <w:rPr>
          <w:rFonts w:ascii="宋体" w:hAnsi="宋体" w:hint="eastAsia"/>
          <w:color w:val="000000"/>
          <w:szCs w:val="21"/>
        </w:rPr>
        <w:t xml:space="preserve">日     </w:t>
      </w:r>
    </w:p>
    <w:p w:rsidR="000E6D6E" w:rsidRPr="00986C29" w:rsidRDefault="000E6D6E" w:rsidP="000E6D6E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Pr="00986C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</w:t>
      </w:r>
      <w:r w:rsidRPr="00167556">
        <w:rPr>
          <w:rFonts w:ascii="宋体" w:hAnsi="宋体" w:cs="宋体"/>
          <w:bCs/>
          <w:color w:val="000000"/>
          <w:kern w:val="0"/>
          <w:sz w:val="28"/>
          <w:szCs w:val="28"/>
        </w:rPr>
        <w:t>13,102,221,604.34</w:t>
      </w:r>
      <w:r w:rsidRPr="00986C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0E6D6E" w:rsidRPr="00986C29" w:rsidRDefault="000E6D6E" w:rsidP="000E6D6E">
      <w:pPr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0E6D6E" w:rsidRPr="000147C5" w:rsidRDefault="000E6D6E" w:rsidP="000E6D6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0E6D6E" w:rsidRPr="000147C5" w:rsidTr="009158CD">
        <w:trPr>
          <w:trHeight w:val="838"/>
          <w:jc w:val="center"/>
        </w:trPr>
        <w:tc>
          <w:tcPr>
            <w:tcW w:w="2079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0E6D6E" w:rsidRPr="000147C5" w:rsidTr="009158CD">
        <w:trPr>
          <w:trHeight w:val="838"/>
          <w:jc w:val="center"/>
        </w:trPr>
        <w:tc>
          <w:tcPr>
            <w:tcW w:w="2079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0E6D6E" w:rsidRPr="000147C5" w:rsidRDefault="000E6D6E" w:rsidP="009158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0E6D6E" w:rsidRPr="000147C5" w:rsidRDefault="000E6D6E" w:rsidP="009158CD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0E6D6E" w:rsidRPr="000147C5" w:rsidRDefault="000E6D6E" w:rsidP="000E6D6E">
      <w:pPr>
        <w:spacing w:line="480" w:lineRule="exact"/>
        <w:rPr>
          <w:rFonts w:ascii="宋体" w:hAnsi="宋体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0E6D6E" w:rsidRPr="00EE774A" w:rsidRDefault="000E6D6E" w:rsidP="000E6D6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0E6D6E" w:rsidRPr="00986C29" w:rsidRDefault="000E6D6E" w:rsidP="000E6D6E">
      <w:pPr>
        <w:spacing w:line="480" w:lineRule="exact"/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0E6D6E" w:rsidRDefault="000E6D6E" w:rsidP="000E6D6E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0E6D6E" w:rsidRPr="004833EC" w:rsidRDefault="000E6D6E" w:rsidP="000E6D6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35401" cy="3042541"/>
            <wp:effectExtent l="6096" t="6095" r="5588" b="507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6D6E" w:rsidRDefault="000E6D6E" w:rsidP="000E6D6E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0E6D6E" w:rsidRPr="004833EC" w:rsidRDefault="000E6D6E" w:rsidP="000E6D6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0818" cy="2599443"/>
            <wp:effectExtent l="6096" t="6093" r="4191" b="812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D6E" w:rsidRPr="00986C29" w:rsidRDefault="000E6D6E" w:rsidP="000E6D6E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Pr="00986C2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0E6D6E" w:rsidRDefault="000E6D6E" w:rsidP="000E6D6E">
      <w:pPr>
        <w:ind w:right="5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58814" cy="2642574"/>
            <wp:effectExtent l="5843" t="5853" r="5843" b="8413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6D6E" w:rsidRPr="00986C29" w:rsidRDefault="000E6D6E" w:rsidP="000E6D6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 xml:space="preserve">三、投资非标准化债权资产清单（见附录一）    </w:t>
      </w:r>
    </w:p>
    <w:p w:rsidR="000E6D6E" w:rsidRPr="00986C29" w:rsidRDefault="000E6D6E" w:rsidP="000E6D6E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四、产品整体运作情况</w:t>
      </w:r>
    </w:p>
    <w:p w:rsidR="000E6D6E" w:rsidRPr="00986C29" w:rsidRDefault="000E6D6E" w:rsidP="000E6D6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0E6D6E" w:rsidRPr="00986C29" w:rsidRDefault="000E6D6E" w:rsidP="000E6D6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0E6D6E" w:rsidRPr="00986C29" w:rsidRDefault="000E6D6E" w:rsidP="000E6D6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E6D6E" w:rsidRPr="00986C29" w:rsidRDefault="000E6D6E" w:rsidP="000E6D6E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0E6D6E" w:rsidRPr="00986C29" w:rsidRDefault="000E6D6E" w:rsidP="000E6D6E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86C29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986C29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p w:rsidR="009E2467" w:rsidRDefault="000E6D6E" w:rsidP="00505984">
      <w:r w:rsidRPr="00986C29">
        <w:rPr>
          <w:rFonts w:ascii="宋体" w:hAnsi="宋体"/>
          <w:color w:val="000000"/>
          <w:szCs w:val="21"/>
        </w:rPr>
        <w:br w:type="page"/>
      </w:r>
    </w:p>
    <w:sectPr w:rsidR="009E2467" w:rsidSect="00C1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A9" w:rsidRDefault="008319A9" w:rsidP="000E6D6E">
      <w:r>
        <w:separator/>
      </w:r>
    </w:p>
  </w:endnote>
  <w:endnote w:type="continuationSeparator" w:id="1">
    <w:p w:rsidR="008319A9" w:rsidRDefault="008319A9" w:rsidP="000E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A9" w:rsidRDefault="008319A9" w:rsidP="000E6D6E">
      <w:r>
        <w:separator/>
      </w:r>
    </w:p>
  </w:footnote>
  <w:footnote w:type="continuationSeparator" w:id="1">
    <w:p w:rsidR="008319A9" w:rsidRDefault="008319A9" w:rsidP="000E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D6E"/>
    <w:rsid w:val="000E6D6E"/>
    <w:rsid w:val="00505984"/>
    <w:rsid w:val="008319A9"/>
    <w:rsid w:val="009E2467"/>
    <w:rsid w:val="00C1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D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D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D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6&#26376;\6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6&#26376;\6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6&#26376;\6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6"/>
          <c:y val="7.1023255517772763E-2"/>
          <c:w val="0.79123261156213054"/>
          <c:h val="0.68958597928388332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'17年6月'!$A$115:$A$116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'17年6月'!$B$115:$B$116</c:f>
              <c:numCache>
                <c:formatCode>0.00%</c:formatCode>
                <c:ptCount val="2"/>
                <c:pt idx="0">
                  <c:v>0.322426978959231</c:v>
                </c:pt>
                <c:pt idx="1">
                  <c:v>0.6775730210407287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326E-2"/>
          <c:y val="0.10879629629629785"/>
          <c:w val="0.64954811898512765"/>
          <c:h val="0.7731481481481558"/>
        </c:manualLayout>
      </c:layout>
      <c:pie3DChart>
        <c:varyColors val="1"/>
        <c:ser>
          <c:idx val="0"/>
          <c:order val="0"/>
          <c:tx>
            <c:strRef>
              <c:f>'17年6月'!$B$123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'17年6月'!$A$124:$A$127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</c:strCache>
            </c:strRef>
          </c:cat>
          <c:val>
            <c:numRef>
              <c:f>'17年6月'!$B$124:$B$127</c:f>
              <c:numCache>
                <c:formatCode>0.00%</c:formatCode>
                <c:ptCount val="4"/>
                <c:pt idx="0">
                  <c:v>9.5516731802009161E-2</c:v>
                </c:pt>
                <c:pt idx="1">
                  <c:v>0.27557656363439798</c:v>
                </c:pt>
                <c:pt idx="2">
                  <c:v>0.11256108047432953</c:v>
                </c:pt>
                <c:pt idx="3">
                  <c:v>0.51634562408926377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'17年6月'!$B$131</c:f>
              <c:strCache>
                <c:ptCount val="1"/>
                <c:pt idx="0">
                  <c:v>6月各行业</c:v>
                </c:pt>
              </c:strCache>
            </c:strRef>
          </c:tx>
          <c:cat>
            <c:strRef>
              <c:f>'17年6月'!$A$132:$A$141</c:f>
              <c:strCache>
                <c:ptCount val="10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制造业</c:v>
                </c:pt>
                <c:pt idx="7">
                  <c:v>电力、燃气及水的生产和供应业</c:v>
                </c:pt>
                <c:pt idx="8">
                  <c:v>卫生、社会保障和社会福利业</c:v>
                </c:pt>
                <c:pt idx="9">
                  <c:v>水利、环境和公共设施管理业</c:v>
                </c:pt>
              </c:strCache>
            </c:strRef>
          </c:cat>
          <c:val>
            <c:numRef>
              <c:f>'17年6月'!$B$132:$B$141</c:f>
              <c:numCache>
                <c:formatCode>0.00%</c:formatCode>
                <c:ptCount val="10"/>
                <c:pt idx="0">
                  <c:v>9.0985577541951801E-2</c:v>
                </c:pt>
                <c:pt idx="1">
                  <c:v>0.47917265242442497</c:v>
                </c:pt>
                <c:pt idx="2">
                  <c:v>5.5609620464340372E-3</c:v>
                </c:pt>
                <c:pt idx="3">
                  <c:v>4.6341350386950246E-2</c:v>
                </c:pt>
                <c:pt idx="4">
                  <c:v>0.23273655972112817</c:v>
                </c:pt>
                <c:pt idx="5">
                  <c:v>0</c:v>
                </c:pt>
                <c:pt idx="6">
                  <c:v>6.1788467182600414E-2</c:v>
                </c:pt>
                <c:pt idx="7">
                  <c:v>5.1490389318833716E-3</c:v>
                </c:pt>
                <c:pt idx="8">
                  <c:v>4.1192311455066945E-3</c:v>
                </c:pt>
                <c:pt idx="9">
                  <c:v>7.4146160619120452E-2</c:v>
                </c:pt>
              </c:numCache>
            </c:numRef>
          </c:val>
        </c:ser>
        <c:ser>
          <c:idx val="1"/>
          <c:order val="1"/>
          <c:tx>
            <c:strRef>
              <c:f>'17年6月'!$C$131</c:f>
              <c:strCache>
                <c:ptCount val="1"/>
                <c:pt idx="0">
                  <c:v>5月各行业</c:v>
                </c:pt>
              </c:strCache>
            </c:strRef>
          </c:tx>
          <c:cat>
            <c:strRef>
              <c:f>'17年6月'!$A$132:$A$141</c:f>
              <c:strCache>
                <c:ptCount val="10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制造业</c:v>
                </c:pt>
                <c:pt idx="7">
                  <c:v>电力、燃气及水的生产和供应业</c:v>
                </c:pt>
                <c:pt idx="8">
                  <c:v>卫生、社会保障和社会福利业</c:v>
                </c:pt>
                <c:pt idx="9">
                  <c:v>水利、环境和公共设施管理业</c:v>
                </c:pt>
              </c:strCache>
            </c:strRef>
          </c:cat>
          <c:val>
            <c:numRef>
              <c:f>'17年6月'!$C$132:$C$141</c:f>
              <c:numCache>
                <c:formatCode>0.00%</c:formatCode>
                <c:ptCount val="10"/>
                <c:pt idx="0">
                  <c:v>8.9692453720858267E-2</c:v>
                </c:pt>
                <c:pt idx="1">
                  <c:v>0.49266589175223746</c:v>
                </c:pt>
                <c:pt idx="2">
                  <c:v>5.4819274050687599E-3</c:v>
                </c:pt>
                <c:pt idx="3">
                  <c:v>1.319723264183219E-2</c:v>
                </c:pt>
                <c:pt idx="4">
                  <c:v>0.22942881361954401</c:v>
                </c:pt>
                <c:pt idx="5">
                  <c:v>3.0455152250381971E-2</c:v>
                </c:pt>
                <c:pt idx="6">
                  <c:v>6.0910304500763922E-2</c:v>
                </c:pt>
                <c:pt idx="7">
                  <c:v>0</c:v>
                </c:pt>
                <c:pt idx="8">
                  <c:v>0</c:v>
                </c:pt>
                <c:pt idx="9">
                  <c:v>7.8168224109313775E-2</c:v>
                </c:pt>
              </c:numCache>
            </c:numRef>
          </c:val>
        </c:ser>
        <c:ser>
          <c:idx val="2"/>
          <c:order val="2"/>
          <c:tx>
            <c:strRef>
              <c:f>'17年6月'!$D$131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'17年6月'!$A$132:$A$141</c:f>
              <c:strCache>
                <c:ptCount val="10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制造业</c:v>
                </c:pt>
                <c:pt idx="7">
                  <c:v>电力、燃气及水的生产和供应业</c:v>
                </c:pt>
                <c:pt idx="8">
                  <c:v>卫生、社会保障和社会福利业</c:v>
                </c:pt>
                <c:pt idx="9">
                  <c:v>水利、环境和公共设施管理业</c:v>
                </c:pt>
              </c:strCache>
            </c:strRef>
          </c:cat>
          <c:val>
            <c:numRef>
              <c:f>'17年6月'!$D$132:$D$141</c:f>
              <c:numCache>
                <c:formatCode>0.00%</c:formatCode>
                <c:ptCount val="10"/>
                <c:pt idx="0">
                  <c:v>1.2931238210935766E-3</c:v>
                </c:pt>
                <c:pt idx="1">
                  <c:v>-1.3493239327812224E-2</c:v>
                </c:pt>
                <c:pt idx="2">
                  <c:v>7.9034641365280833E-5</c:v>
                </c:pt>
                <c:pt idx="3">
                  <c:v>3.3144117745118114E-2</c:v>
                </c:pt>
                <c:pt idx="4">
                  <c:v>3.3077461015839646E-3</c:v>
                </c:pt>
                <c:pt idx="5">
                  <c:v>-3.0455152250381971E-2</c:v>
                </c:pt>
                <c:pt idx="6">
                  <c:v>8.7816268183645149E-4</c:v>
                </c:pt>
                <c:pt idx="7">
                  <c:v>5.1490389318833716E-3</c:v>
                </c:pt>
                <c:pt idx="8">
                  <c:v>4.1192311455066945E-3</c:v>
                </c:pt>
                <c:pt idx="9">
                  <c:v>-4.0220634901932594E-3</c:v>
                </c:pt>
              </c:numCache>
            </c:numRef>
          </c:val>
        </c:ser>
        <c:axId val="150922368"/>
        <c:axId val="150924288"/>
      </c:barChart>
      <c:catAx>
        <c:axId val="150922368"/>
        <c:scaling>
          <c:orientation val="minMax"/>
        </c:scaling>
        <c:axPos val="l"/>
        <c:numFmt formatCode="General" sourceLinked="1"/>
        <c:tickLblPos val="nextTo"/>
        <c:crossAx val="150924288"/>
        <c:crosses val="autoZero"/>
        <c:auto val="1"/>
        <c:lblAlgn val="ctr"/>
        <c:lblOffset val="100"/>
      </c:catAx>
      <c:valAx>
        <c:axId val="150924288"/>
        <c:scaling>
          <c:orientation val="minMax"/>
        </c:scaling>
        <c:axPos val="b"/>
        <c:majorGridlines/>
        <c:numFmt formatCode="0%" sourceLinked="0"/>
        <c:tickLblPos val="nextTo"/>
        <c:crossAx val="1509223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3</cp:revision>
  <dcterms:created xsi:type="dcterms:W3CDTF">2017-07-07T08:13:00Z</dcterms:created>
  <dcterms:modified xsi:type="dcterms:W3CDTF">2017-07-07T08:19:00Z</dcterms:modified>
</cp:coreProperties>
</file>