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FA" w:rsidRPr="00DE2106" w:rsidRDefault="00E91CFA" w:rsidP="00E91CFA">
      <w:pPr>
        <w:ind w:left="360"/>
        <w:jc w:val="center"/>
        <w:rPr>
          <w:rFonts w:ascii="彩虹粗仿宋" w:eastAsia="彩虹粗仿宋" w:hint="eastAsia"/>
          <w:b/>
          <w:color w:val="000000"/>
          <w:sz w:val="32"/>
          <w:szCs w:val="32"/>
        </w:rPr>
      </w:pPr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中国建设银行“乾元—</w:t>
      </w:r>
      <w:proofErr w:type="gramStart"/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鑫</w:t>
      </w:r>
      <w:proofErr w:type="gramEnd"/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满溢足”开放式净值型理财管理计划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月度投资管理报告</w:t>
      </w:r>
    </w:p>
    <w:p w:rsidR="00E91CFA" w:rsidRPr="00DE2106" w:rsidRDefault="00E91CFA" w:rsidP="00E91CFA">
      <w:pPr>
        <w:spacing w:line="480" w:lineRule="exact"/>
        <w:ind w:firstLineChars="200" w:firstLine="420"/>
        <w:jc w:val="center"/>
        <w:rPr>
          <w:rFonts w:ascii="彩虹粗仿宋" w:eastAsia="彩虹粗仿宋" w:hAnsi="宋体" w:hint="eastAsia"/>
          <w:color w:val="000000"/>
          <w:szCs w:val="21"/>
        </w:rPr>
      </w:pPr>
      <w:r w:rsidRPr="00DE2106">
        <w:rPr>
          <w:rFonts w:ascii="彩虹粗仿宋" w:eastAsia="彩虹粗仿宋" w:hAnsi="宋体" w:hint="eastAsia"/>
          <w:color w:val="000000"/>
          <w:szCs w:val="21"/>
        </w:rPr>
        <w:t>报告日：201</w:t>
      </w:r>
      <w:r>
        <w:rPr>
          <w:rFonts w:ascii="彩虹粗仿宋" w:eastAsia="彩虹粗仿宋" w:hAnsi="宋体" w:hint="eastAsia"/>
          <w:color w:val="000000"/>
          <w:szCs w:val="21"/>
        </w:rPr>
        <w:t>7年8</w:t>
      </w:r>
      <w:r w:rsidRPr="00DE2106">
        <w:rPr>
          <w:rFonts w:ascii="彩虹粗仿宋" w:eastAsia="彩虹粗仿宋" w:hAnsi="宋体" w:hint="eastAsia"/>
          <w:color w:val="000000"/>
          <w:szCs w:val="21"/>
        </w:rPr>
        <w:t>月</w:t>
      </w:r>
      <w:r>
        <w:rPr>
          <w:rFonts w:ascii="彩虹粗仿宋" w:eastAsia="彩虹粗仿宋" w:hAnsi="宋体" w:hint="eastAsia"/>
          <w:color w:val="000000"/>
          <w:szCs w:val="21"/>
        </w:rPr>
        <w:t>31</w:t>
      </w:r>
      <w:r w:rsidRPr="00DE2106">
        <w:rPr>
          <w:rFonts w:ascii="彩虹粗仿宋" w:eastAsia="彩虹粗仿宋" w:hAnsi="宋体" w:hint="eastAsia"/>
          <w:color w:val="000000"/>
          <w:szCs w:val="21"/>
        </w:rPr>
        <w:t>日</w:t>
      </w:r>
    </w:p>
    <w:p w:rsidR="00E91CFA" w:rsidRPr="00DE2106" w:rsidRDefault="00E91CFA" w:rsidP="00E91CFA">
      <w:pPr>
        <w:ind w:firstLineChars="200" w:firstLine="560"/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</w:pP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“乾元-</w:t>
      </w:r>
      <w:proofErr w:type="gramStart"/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鑫</w:t>
      </w:r>
      <w:proofErr w:type="gramEnd"/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满溢足”净值型人民币理财产品于2014年6月11日正式成立，投资运作正常。截至报告日，目前本产品总资产规模为</w:t>
      </w:r>
      <w:r w:rsidRPr="001B5184"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  <w:t>539,423,967.60</w:t>
      </w:r>
      <w:r w:rsidRPr="0042219D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份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E91CFA" w:rsidRPr="00DE2106" w:rsidRDefault="00E91CFA" w:rsidP="00E91CFA">
      <w:pPr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E91CFA" w:rsidRPr="00DE2106" w:rsidRDefault="00E91CFA" w:rsidP="00E91CFA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截至2017年8月31日，产品单位净值为</w:t>
      </w:r>
      <w:r w:rsidRPr="001B5184">
        <w:rPr>
          <w:rFonts w:ascii="彩虹粗仿宋" w:eastAsia="彩虹粗仿宋" w:hAnsi="宋体"/>
          <w:color w:val="000000"/>
          <w:sz w:val="28"/>
          <w:szCs w:val="28"/>
        </w:rPr>
        <w:t>1.099618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E91CFA" w:rsidRPr="00DE2106" w:rsidRDefault="00E91CFA" w:rsidP="00E91CFA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E91CFA" w:rsidRPr="00DE2106" w:rsidRDefault="00E91CFA" w:rsidP="00E91CFA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E91CFA" w:rsidRPr="00DE2106" w:rsidRDefault="00E91CFA" w:rsidP="00E91CFA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（一）投资组合的基本情况</w:t>
      </w:r>
    </w:p>
    <w:p w:rsidR="00E91CFA" w:rsidRPr="0000530E" w:rsidRDefault="00E91CFA" w:rsidP="00E91CFA">
      <w:pPr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截至2017年8月31日，本产品的资金实际全部投资于现金、债券、存单（含存款）和</w:t>
      </w:r>
      <w:proofErr w:type="gramStart"/>
      <w:r>
        <w:rPr>
          <w:rFonts w:ascii="彩虹粗仿宋" w:eastAsia="彩虹粗仿宋" w:hAnsi="宋体" w:hint="eastAsia"/>
          <w:color w:val="000000"/>
          <w:sz w:val="28"/>
          <w:szCs w:val="28"/>
        </w:rPr>
        <w:t>逆回购</w:t>
      </w:r>
      <w:proofErr w:type="gramEnd"/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E91CFA" w:rsidRPr="00DE2106" w:rsidRDefault="00E91CFA" w:rsidP="00E91CFA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（二）现金及债券类资产的期限结构</w:t>
      </w:r>
    </w:p>
    <w:p w:rsidR="00E91CFA" w:rsidRPr="009D2FE7" w:rsidRDefault="00E91CFA" w:rsidP="00E91CFA">
      <w:pPr>
        <w:jc w:val="center"/>
        <w:rPr>
          <w:rFonts w:ascii="彩虹粗仿宋" w:eastAsia="彩虹粗仿宋" w:hint="eastAsia"/>
        </w:rPr>
      </w:pPr>
      <w:r>
        <w:rPr>
          <w:noProof/>
        </w:rPr>
        <w:drawing>
          <wp:inline distT="0" distB="0" distL="0" distR="0">
            <wp:extent cx="4232535" cy="2364484"/>
            <wp:effectExtent l="0" t="0" r="6090" b="7241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91CFA" w:rsidRPr="00DE2106" w:rsidRDefault="00E91CFA" w:rsidP="00E91CFA">
      <w:pPr>
        <w:jc w:val="center"/>
        <w:rPr>
          <w:rFonts w:ascii="彩虹粗仿宋" w:eastAsia="彩虹粗仿宋" w:hint="eastAsia"/>
        </w:rPr>
      </w:pPr>
    </w:p>
    <w:p w:rsidR="00E91CFA" w:rsidRPr="00DE2106" w:rsidRDefault="00E91CFA" w:rsidP="00E91CFA">
      <w:pPr>
        <w:ind w:firstLineChars="100" w:firstLine="281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（三）债券类资产的评级构成</w:t>
      </w:r>
    </w:p>
    <w:p w:rsidR="00E91CFA" w:rsidRPr="00A6754D" w:rsidRDefault="00E91CFA" w:rsidP="00E91CFA">
      <w:pPr>
        <w:jc w:val="center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232535" cy="2364484"/>
            <wp:effectExtent l="0" t="0" r="6090" b="7241"/>
            <wp:docPr id="2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91CFA" w:rsidRPr="00DE2106" w:rsidRDefault="00E91CFA" w:rsidP="00E91CFA">
      <w:pPr>
        <w:jc w:val="center"/>
        <w:rPr>
          <w:rFonts w:ascii="彩虹粗仿宋" w:eastAsia="彩虹粗仿宋" w:hAnsi="宋体" w:hint="eastAsia"/>
          <w:color w:val="000000"/>
          <w:sz w:val="28"/>
          <w:szCs w:val="28"/>
        </w:rPr>
      </w:pPr>
    </w:p>
    <w:p w:rsidR="00E91CFA" w:rsidRPr="00DE2106" w:rsidRDefault="00E91CFA" w:rsidP="00E91CFA">
      <w:pPr>
        <w:spacing w:line="480" w:lineRule="exact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E91CFA" w:rsidRPr="00DE2106" w:rsidRDefault="00E91CFA" w:rsidP="00E91CFA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E91CFA" w:rsidRPr="00DE2106" w:rsidRDefault="00E91CFA" w:rsidP="00E91CFA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E91CFA" w:rsidRPr="00DE2106" w:rsidRDefault="00E91CFA" w:rsidP="00E91CFA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E91CFA" w:rsidRPr="00DE2106" w:rsidRDefault="00E91CFA" w:rsidP="00E91CFA">
      <w:pPr>
        <w:spacing w:line="480" w:lineRule="exact"/>
        <w:ind w:right="362" w:firstLineChars="2050" w:firstLine="5740"/>
        <w:jc w:val="right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E91CFA" w:rsidRPr="00DE2106" w:rsidRDefault="00E91CFA" w:rsidP="00E91CFA">
      <w:pPr>
        <w:spacing w:line="480" w:lineRule="exact"/>
        <w:ind w:right="222" w:firstLineChars="200" w:firstLine="560"/>
        <w:jc w:val="right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7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9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5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E91CFA" w:rsidRPr="00DE2106" w:rsidRDefault="00E91CFA" w:rsidP="00E91CFA">
      <w:pPr>
        <w:rPr>
          <w:rFonts w:ascii="彩虹粗仿宋" w:eastAsia="彩虹粗仿宋" w:hint="eastAsia"/>
          <w:b/>
          <w:color w:val="000000"/>
          <w:sz w:val="32"/>
          <w:szCs w:val="32"/>
        </w:rPr>
      </w:pPr>
    </w:p>
    <w:p w:rsidR="006A2A21" w:rsidRDefault="006A2A21"/>
    <w:sectPr w:rsidR="006A2A21" w:rsidSect="00117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91CFA"/>
    <w:rsid w:val="006A2A21"/>
    <w:rsid w:val="00E9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1C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1CF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25237;&#36164;\&#20538;&#21048;\63&#20859;&#39056;&#22235;&#26041;\&#21488;&#36134;\&#20538;&#26435;&#25345;&#20179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25237;&#36164;\&#20538;&#21048;\63&#20859;&#39056;&#22235;&#26041;\&#21488;&#36134;\&#20538;&#26435;&#25345;&#20179;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view3D>
      <c:perspective val="0"/>
    </c:view3D>
    <c:plotArea>
      <c:layout>
        <c:manualLayout>
          <c:layoutTarget val="inner"/>
          <c:xMode val="edge"/>
          <c:yMode val="edge"/>
          <c:x val="6.914310916053526E-2"/>
          <c:y val="0.29457259019093446"/>
          <c:w val="0.58343638397658726"/>
          <c:h val="0.38149341172349782"/>
        </c:manualLayout>
      </c:layout>
      <c:pie3DChart>
        <c:varyColors val="1"/>
        <c:ser>
          <c:idx val="1"/>
          <c:order val="0"/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zh-CN"/>
              </a:p>
            </c:txPr>
            <c:showPercent val="1"/>
            <c:showLeaderLines val="1"/>
          </c:dLbls>
          <c:cat>
            <c:strRef>
              <c:f>分布!$B$4:$B$8</c:f>
              <c:strCache>
                <c:ptCount val="5"/>
                <c:pt idx="0">
                  <c:v>半年以内</c:v>
                </c:pt>
                <c:pt idx="1">
                  <c:v>半年至1年</c:v>
                </c:pt>
                <c:pt idx="2">
                  <c:v>1年至3年</c:v>
                </c:pt>
                <c:pt idx="3">
                  <c:v>3年至5年</c:v>
                </c:pt>
                <c:pt idx="4">
                  <c:v>5年以上</c:v>
                </c:pt>
              </c:strCache>
            </c:strRef>
          </c:cat>
          <c:val>
            <c:numRef>
              <c:f>分布!$D$4:$D$8</c:f>
              <c:numCache>
                <c:formatCode>0.0%</c:formatCode>
                <c:ptCount val="5"/>
                <c:pt idx="0">
                  <c:v>0.12032935457304804</c:v>
                </c:pt>
                <c:pt idx="1">
                  <c:v>0.32134196769689044</c:v>
                </c:pt>
                <c:pt idx="2">
                  <c:v>0.28169917224653701</c:v>
                </c:pt>
                <c:pt idx="3">
                  <c:v>0.19854926164474559</c:v>
                </c:pt>
                <c:pt idx="4">
                  <c:v>7.8080243838779054E-2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1627447183856163"/>
          <c:y val="0.22687512122918274"/>
          <c:w val="0.25693078426048682"/>
          <c:h val="0.5627127958037492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  <a:endParaRPr lang="zh-CN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zh-CN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view3D>
      <c:perspective val="0"/>
    </c:view3D>
    <c:plotArea>
      <c:layout>
        <c:manualLayout>
          <c:layoutTarget val="inner"/>
          <c:xMode val="edge"/>
          <c:yMode val="edge"/>
          <c:x val="6.9143109160535274E-2"/>
          <c:y val="0.29457259019093446"/>
          <c:w val="0.58343638397658737"/>
          <c:h val="0.38149341172349782"/>
        </c:manualLayout>
      </c:layout>
      <c:pie3DChart>
        <c:varyColors val="1"/>
        <c:ser>
          <c:idx val="1"/>
          <c:order val="0"/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zh-CN"/>
              </a:p>
            </c:txPr>
            <c:showPercent val="1"/>
            <c:showLeaderLines val="1"/>
          </c:dLbls>
          <c:cat>
            <c:strRef>
              <c:f>分布!$B$24:$B$26</c:f>
              <c:strCache>
                <c:ptCount val="3"/>
                <c:pt idx="0">
                  <c:v>AAA</c:v>
                </c:pt>
                <c:pt idx="1">
                  <c:v>AA+</c:v>
                </c:pt>
                <c:pt idx="2">
                  <c:v>AA</c:v>
                </c:pt>
              </c:strCache>
            </c:strRef>
          </c:cat>
          <c:val>
            <c:numRef>
              <c:f>分布!$D$24:$D$26</c:f>
              <c:numCache>
                <c:formatCode>0.0%</c:formatCode>
                <c:ptCount val="3"/>
                <c:pt idx="0">
                  <c:v>0.48424097380478154</c:v>
                </c:pt>
                <c:pt idx="1">
                  <c:v>0.47908546881924652</c:v>
                </c:pt>
                <c:pt idx="2">
                  <c:v>3.6673557375972339E-2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7922402235691779"/>
          <c:y val="0.19464321593161046"/>
          <c:w val="0.14601956230291363"/>
          <c:h val="0.5627127958037492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  <a:endParaRPr lang="zh-CN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zh-CN"/>
    </a:p>
  </c:txPr>
  <c:externalData r:id="rId2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汪帅</dc:creator>
  <cp:lastModifiedBy>汪帅</cp:lastModifiedBy>
  <cp:revision>1</cp:revision>
  <dcterms:created xsi:type="dcterms:W3CDTF">2017-09-05T07:04:00Z</dcterms:created>
  <dcterms:modified xsi:type="dcterms:W3CDTF">2017-09-05T07:04:00Z</dcterms:modified>
</cp:coreProperties>
</file>