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CC" w:rsidRPr="00EE774A" w:rsidRDefault="006F07CC" w:rsidP="006F07CC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月溢”（按日）开放式资产组合型人民币理财产品月度投资管理报告</w:t>
      </w:r>
    </w:p>
    <w:p w:rsidR="006F07CC" w:rsidRPr="00EE774A" w:rsidRDefault="006F07CC" w:rsidP="006F07CC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9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30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6F07CC" w:rsidRPr="0035334D" w:rsidRDefault="006F07CC" w:rsidP="006F07CC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6665A6">
        <w:rPr>
          <w:rFonts w:ascii="宋体" w:hAnsi="宋体"/>
          <w:sz w:val="28"/>
          <w:szCs w:val="28"/>
        </w:rPr>
        <w:t>132,590,759,452.02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6F07CC" w:rsidRPr="009C7E87" w:rsidRDefault="006F07CC" w:rsidP="006F07CC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6F07CC" w:rsidRPr="009C7E87" w:rsidTr="004B294F">
        <w:trPr>
          <w:trHeight w:val="473"/>
          <w:jc w:val="center"/>
        </w:trPr>
        <w:tc>
          <w:tcPr>
            <w:tcW w:w="1675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CC" w:rsidRPr="009C7E87" w:rsidRDefault="006F07CC" w:rsidP="004B294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6F07CC" w:rsidRPr="009C7E87" w:rsidTr="004B294F">
        <w:trPr>
          <w:trHeight w:val="778"/>
          <w:jc w:val="center"/>
        </w:trPr>
        <w:tc>
          <w:tcPr>
            <w:tcW w:w="1675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CC" w:rsidRPr="009C7E87" w:rsidRDefault="006F07CC" w:rsidP="004B2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6F07CC" w:rsidRDefault="006F07CC" w:rsidP="006F07CC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6F07CC" w:rsidRPr="00EE774A" w:rsidRDefault="006F07CC" w:rsidP="006F07CC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6F07CC" w:rsidRPr="00F7161F" w:rsidRDefault="006F07CC" w:rsidP="006F07CC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91697" cy="2566150"/>
            <wp:effectExtent l="6091" t="6101" r="7487" b="9024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（二）融资类资产的行内评级构成</w:t>
      </w:r>
    </w:p>
    <w:p w:rsidR="006F07CC" w:rsidRPr="0002419E" w:rsidRDefault="006F07CC" w:rsidP="006F07CC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569976" cy="2252857"/>
            <wp:effectExtent l="6092" t="6094" r="5457" b="7999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07CC" w:rsidRDefault="006F07CC" w:rsidP="006F07CC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6F07CC" w:rsidRPr="00C82729" w:rsidRDefault="006F07CC" w:rsidP="006F07CC">
      <w:pPr>
        <w:ind w:right="56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3351360"/>
            <wp:effectExtent l="5850" t="5848" r="5850" b="5117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6F07CC" w:rsidRPr="00EE774A" w:rsidRDefault="006F07CC" w:rsidP="006F07CC">
      <w:pPr>
        <w:jc w:val="center"/>
        <w:rPr>
          <w:rFonts w:hint="eastAsia"/>
          <w:color w:val="000000"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drawing>
          <wp:inline distT="0" distB="0" distL="0" distR="0">
            <wp:extent cx="5047353" cy="1433993"/>
            <wp:effectExtent l="6101" t="6080" r="4321" b="7727"/>
            <wp:docPr id="4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07CC" w:rsidRPr="00EE774A" w:rsidRDefault="006F07CC" w:rsidP="006F07C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6F07CC" w:rsidRPr="00EE774A" w:rsidRDefault="006F07CC" w:rsidP="006F07CC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6F07CC" w:rsidRPr="00EE774A" w:rsidRDefault="006F07CC" w:rsidP="006F07CC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6F07CC" w:rsidRPr="00EE774A" w:rsidRDefault="006F07CC" w:rsidP="006F07CC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6F07CC" w:rsidRPr="00EE774A" w:rsidRDefault="006F07CC" w:rsidP="006F07CC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6F07CC" w:rsidRDefault="006F07CC" w:rsidP="006F07CC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8D0CB9" w:rsidRDefault="006F07CC" w:rsidP="006F07CC">
      <w:r>
        <w:rPr>
          <w:rFonts w:ascii="彩虹粗仿宋" w:eastAsia="彩虹粗仿宋"/>
          <w:b/>
          <w:color w:val="000000"/>
          <w:sz w:val="32"/>
          <w:szCs w:val="32"/>
        </w:rPr>
        <w:br w:type="page"/>
      </w:r>
    </w:p>
    <w:sectPr w:rsidR="008D0CB9" w:rsidSect="008D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07CC"/>
    <w:rsid w:val="006F07CC"/>
    <w:rsid w:val="008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07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07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'17年9月'!$B$57:$B$59</c:f>
              <c:numCache>
                <c:formatCode>0.00%</c:formatCode>
                <c:ptCount val="3"/>
                <c:pt idx="0">
                  <c:v>8.3444967082691723E-2</c:v>
                </c:pt>
                <c:pt idx="1">
                  <c:v>8.205200163416479E-2</c:v>
                </c:pt>
                <c:pt idx="2">
                  <c:v>0.83450303128345871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414499323949023E-2"/>
          <c:y val="0.12749954992088083"/>
          <c:w val="0.62449790998347465"/>
          <c:h val="0.7655478512947137"/>
        </c:manualLayout>
      </c:layout>
      <c:pie3DChart>
        <c:varyColors val="1"/>
        <c:ser>
          <c:idx val="0"/>
          <c:order val="0"/>
          <c:tx>
            <c:strRef>
              <c:f>'17年9月'!$B$63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'17年9月'!$A$64:$A$68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'17年9月'!$B$64:$B$68</c:f>
              <c:numCache>
                <c:formatCode>0.00%</c:formatCode>
                <c:ptCount val="5"/>
                <c:pt idx="0">
                  <c:v>3.885425004916334E-2</c:v>
                </c:pt>
                <c:pt idx="1">
                  <c:v>0.10164329145445961</c:v>
                </c:pt>
                <c:pt idx="2">
                  <c:v>0.18934965856847627</c:v>
                </c:pt>
                <c:pt idx="3">
                  <c:v>0.60317485954045003</c:v>
                </c:pt>
                <c:pt idx="4">
                  <c:v>6.6977940387451099E-2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2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'17年9月'!$B$72</c:f>
              <c:strCache>
                <c:ptCount val="1"/>
                <c:pt idx="0">
                  <c:v>9月各行业</c:v>
                </c:pt>
              </c:strCache>
            </c:strRef>
          </c:tx>
          <c:cat>
            <c:strRef>
              <c:f>'17年9月'!$A$73:$A$85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金融业</c:v>
                </c:pt>
                <c:pt idx="12">
                  <c:v>租赁和商务服务业</c:v>
                </c:pt>
              </c:strCache>
            </c:strRef>
          </c:cat>
          <c:val>
            <c:numRef>
              <c:f>'17年9月'!$B$73:$B$85</c:f>
              <c:numCache>
                <c:formatCode>0.00%</c:formatCode>
                <c:ptCount val="13"/>
                <c:pt idx="0">
                  <c:v>0.2615915410804357</c:v>
                </c:pt>
                <c:pt idx="1">
                  <c:v>2.816508955528868E-2</c:v>
                </c:pt>
                <c:pt idx="2">
                  <c:v>0.12691257221298763</c:v>
                </c:pt>
                <c:pt idx="3">
                  <c:v>2.5450382128272938E-2</c:v>
                </c:pt>
                <c:pt idx="4">
                  <c:v>5.9384224965970178E-2</c:v>
                </c:pt>
                <c:pt idx="5">
                  <c:v>2.2056997844503209E-2</c:v>
                </c:pt>
                <c:pt idx="6">
                  <c:v>2.2905343915445648E-2</c:v>
                </c:pt>
                <c:pt idx="7">
                  <c:v>9.1632807817338818E-2</c:v>
                </c:pt>
                <c:pt idx="8">
                  <c:v>2.9692112482985089E-2</c:v>
                </c:pt>
                <c:pt idx="9">
                  <c:v>4.5895522437985503E-2</c:v>
                </c:pt>
                <c:pt idx="10">
                  <c:v>6.6213410837056744E-2</c:v>
                </c:pt>
                <c:pt idx="11">
                  <c:v>0</c:v>
                </c:pt>
                <c:pt idx="12">
                  <c:v>0.22009999472172992</c:v>
                </c:pt>
              </c:numCache>
            </c:numRef>
          </c:val>
        </c:ser>
        <c:ser>
          <c:idx val="1"/>
          <c:order val="1"/>
          <c:tx>
            <c:strRef>
              <c:f>'17年9月'!$C$72</c:f>
              <c:strCache>
                <c:ptCount val="1"/>
                <c:pt idx="0">
                  <c:v>8月各行业</c:v>
                </c:pt>
              </c:strCache>
            </c:strRef>
          </c:tx>
          <c:cat>
            <c:strRef>
              <c:f>'17年9月'!$A$73:$A$85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金融业</c:v>
                </c:pt>
                <c:pt idx="12">
                  <c:v>租赁和商务服务业</c:v>
                </c:pt>
              </c:strCache>
            </c:strRef>
          </c:cat>
          <c:val>
            <c:numRef>
              <c:f>'17年9月'!$C$73:$C$85</c:f>
              <c:numCache>
                <c:formatCode>0.00%</c:formatCode>
                <c:ptCount val="13"/>
                <c:pt idx="0">
                  <c:v>0.30702517421341108</c:v>
                </c:pt>
                <c:pt idx="1">
                  <c:v>3.2045793092473449E-2</c:v>
                </c:pt>
                <c:pt idx="2">
                  <c:v>0.14888356045447287</c:v>
                </c:pt>
                <c:pt idx="3">
                  <c:v>3.980843862419061E-2</c:v>
                </c:pt>
                <c:pt idx="4">
                  <c:v>6.9664767592333574E-2</c:v>
                </c:pt>
                <c:pt idx="5">
                  <c:v>2.5875485105723899E-2</c:v>
                </c:pt>
                <c:pt idx="6">
                  <c:v>2.6870696071328658E-2</c:v>
                </c:pt>
                <c:pt idx="7">
                  <c:v>0.10749619556516826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5.9712657936285947E-2</c:v>
                </c:pt>
                <c:pt idx="12">
                  <c:v>0.18261723134461194</c:v>
                </c:pt>
              </c:numCache>
            </c:numRef>
          </c:val>
        </c:ser>
        <c:ser>
          <c:idx val="2"/>
          <c:order val="2"/>
          <c:tx>
            <c:strRef>
              <c:f>'17年9月'!$D$72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'17年9月'!$A$73:$A$85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金融业</c:v>
                </c:pt>
                <c:pt idx="12">
                  <c:v>租赁和商务服务业</c:v>
                </c:pt>
              </c:strCache>
            </c:strRef>
          </c:cat>
          <c:val>
            <c:numRef>
              <c:f>'17年9月'!$D$73:$D$85</c:f>
              <c:numCache>
                <c:formatCode>0.00%</c:formatCode>
                <c:ptCount val="13"/>
                <c:pt idx="0">
                  <c:v>-4.5433633132975312E-2</c:v>
                </c:pt>
                <c:pt idx="1">
                  <c:v>-3.8807035371847317E-3</c:v>
                </c:pt>
                <c:pt idx="2">
                  <c:v>-2.197098824148519E-2</c:v>
                </c:pt>
                <c:pt idx="3">
                  <c:v>-1.4358056495917681E-2</c:v>
                </c:pt>
                <c:pt idx="4">
                  <c:v>-1.0280542626363399E-2</c:v>
                </c:pt>
                <c:pt idx="5">
                  <c:v>-3.8184872612206907E-3</c:v>
                </c:pt>
                <c:pt idx="6">
                  <c:v>-3.9653521558830236E-3</c:v>
                </c:pt>
                <c:pt idx="7">
                  <c:v>-1.5863387747829409E-2</c:v>
                </c:pt>
                <c:pt idx="8">
                  <c:v>2.9692112482985089E-2</c:v>
                </c:pt>
                <c:pt idx="9">
                  <c:v>4.5895522437985503E-2</c:v>
                </c:pt>
                <c:pt idx="10">
                  <c:v>6.6213410837056744E-2</c:v>
                </c:pt>
                <c:pt idx="11">
                  <c:v>-5.9712657936285947E-2</c:v>
                </c:pt>
                <c:pt idx="12">
                  <c:v>3.7482763377117936E-2</c:v>
                </c:pt>
              </c:numCache>
            </c:numRef>
          </c:val>
        </c:ser>
        <c:axId val="373185920"/>
        <c:axId val="373302400"/>
      </c:barChart>
      <c:catAx>
        <c:axId val="373185920"/>
        <c:scaling>
          <c:orientation val="minMax"/>
        </c:scaling>
        <c:axPos val="l"/>
        <c:numFmt formatCode="General" sourceLinked="0"/>
        <c:tickLblPos val="nextTo"/>
        <c:crossAx val="373302400"/>
        <c:crosses val="autoZero"/>
        <c:auto val="1"/>
        <c:lblAlgn val="ctr"/>
        <c:lblOffset val="100"/>
      </c:catAx>
      <c:valAx>
        <c:axId val="373302400"/>
        <c:scaling>
          <c:orientation val="minMax"/>
        </c:scaling>
        <c:axPos val="b"/>
        <c:majorGridlines/>
        <c:numFmt formatCode="0%" sourceLinked="0"/>
        <c:tickLblPos val="nextTo"/>
        <c:crossAx val="3731859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'17年9月'!$B$89</c:f>
              <c:strCache>
                <c:ptCount val="1"/>
                <c:pt idx="0">
                  <c:v>9月各行业</c:v>
                </c:pt>
              </c:strCache>
            </c:strRef>
          </c:tx>
          <c:cat>
            <c:strRef>
              <c:f>'17年9月'!$A$90:$A$95</c:f>
              <c:strCache>
                <c:ptCount val="6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</c:strCache>
            </c:strRef>
          </c:cat>
          <c:val>
            <c:numRef>
              <c:f>'17年9月'!$B$90:$B$95</c:f>
              <c:numCache>
                <c:formatCode>0.00%</c:formatCode>
                <c:ptCount val="6"/>
                <c:pt idx="0">
                  <c:v>4.0013337779259764E-2</c:v>
                </c:pt>
                <c:pt idx="1">
                  <c:v>2.0087016957459729E-2</c:v>
                </c:pt>
                <c:pt idx="2">
                  <c:v>0.72715001386004174</c:v>
                </c:pt>
                <c:pt idx="3">
                  <c:v>7.7497050556343469E-2</c:v>
                </c:pt>
                <c:pt idx="4">
                  <c:v>1.3391344638306484E-3</c:v>
                </c:pt>
                <c:pt idx="5">
                  <c:v>0.13391344638306488</c:v>
                </c:pt>
              </c:numCache>
            </c:numRef>
          </c:val>
        </c:ser>
        <c:ser>
          <c:idx val="1"/>
          <c:order val="1"/>
          <c:tx>
            <c:strRef>
              <c:f>'17年9月'!$C$89</c:f>
              <c:strCache>
                <c:ptCount val="1"/>
                <c:pt idx="0">
                  <c:v>8月各行业</c:v>
                </c:pt>
              </c:strCache>
            </c:strRef>
          </c:tx>
          <c:cat>
            <c:strRef>
              <c:f>'17年9月'!$A$90:$A$95</c:f>
              <c:strCache>
                <c:ptCount val="6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</c:strCache>
            </c:strRef>
          </c:cat>
          <c:val>
            <c:numRef>
              <c:f>'17年9月'!$C$90:$C$95</c:f>
              <c:numCache>
                <c:formatCode>0.00%</c:formatCode>
                <c:ptCount val="6"/>
                <c:pt idx="0">
                  <c:v>4.2987857512804283E-2</c:v>
                </c:pt>
                <c:pt idx="1">
                  <c:v>2.1580249755423855E-2</c:v>
                </c:pt>
                <c:pt idx="2">
                  <c:v>0.78120504114634259</c:v>
                </c:pt>
                <c:pt idx="3">
                  <c:v>1.0358519882603444E-2</c:v>
                </c:pt>
                <c:pt idx="4">
                  <c:v>0</c:v>
                </c:pt>
                <c:pt idx="5">
                  <c:v>0.1438683317028257</c:v>
                </c:pt>
              </c:numCache>
            </c:numRef>
          </c:val>
        </c:ser>
        <c:ser>
          <c:idx val="2"/>
          <c:order val="2"/>
          <c:tx>
            <c:strRef>
              <c:f>'17年9月'!$D$89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'17年9月'!$A$90:$A$95</c:f>
              <c:strCache>
                <c:ptCount val="6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</c:strCache>
            </c:strRef>
          </c:cat>
          <c:val>
            <c:numRef>
              <c:f>'17年9月'!$D$90:$D$95</c:f>
              <c:numCache>
                <c:formatCode>0.00%</c:formatCode>
                <c:ptCount val="6"/>
                <c:pt idx="0">
                  <c:v>-2.9745197335445338E-3</c:v>
                </c:pt>
                <c:pt idx="1">
                  <c:v>-1.4932327979641222E-3</c:v>
                </c:pt>
                <c:pt idx="2">
                  <c:v>-5.4055027286301099E-2</c:v>
                </c:pt>
                <c:pt idx="3">
                  <c:v>6.7138530673739982E-2</c:v>
                </c:pt>
                <c:pt idx="4">
                  <c:v>1.3391344638306484E-3</c:v>
                </c:pt>
                <c:pt idx="5">
                  <c:v>-9.9548853197608065E-3</c:v>
                </c:pt>
              </c:numCache>
            </c:numRef>
          </c:val>
        </c:ser>
        <c:axId val="374029312"/>
        <c:axId val="374039296"/>
      </c:barChart>
      <c:catAx>
        <c:axId val="374029312"/>
        <c:scaling>
          <c:orientation val="minMax"/>
        </c:scaling>
        <c:axPos val="l"/>
        <c:numFmt formatCode="General" sourceLinked="1"/>
        <c:tickLblPos val="nextTo"/>
        <c:crossAx val="374039296"/>
        <c:crosses val="autoZero"/>
        <c:auto val="1"/>
        <c:lblAlgn val="ctr"/>
        <c:lblOffset val="100"/>
      </c:catAx>
      <c:valAx>
        <c:axId val="374039296"/>
        <c:scaling>
          <c:orientation val="minMax"/>
        </c:scaling>
        <c:axPos val="b"/>
        <c:majorGridlines/>
        <c:numFmt formatCode="0%" sourceLinked="0"/>
        <c:tickLblPos val="nextTo"/>
        <c:crossAx val="3740293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2017-10-13T02:49:00Z</dcterms:created>
  <dcterms:modified xsi:type="dcterms:W3CDTF">2017-10-13T02:49:00Z</dcterms:modified>
</cp:coreProperties>
</file>