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23" w:rsidRPr="00EE774A" w:rsidRDefault="00EE6423" w:rsidP="00EE6423">
      <w:pPr>
        <w:jc w:val="center"/>
        <w:rPr>
          <w:b/>
          <w:color w:val="000000"/>
          <w:sz w:val="32"/>
          <w:szCs w:val="32"/>
        </w:rPr>
      </w:pPr>
      <w:bookmarkStart w:id="0" w:name="_GoBack"/>
      <w:r w:rsidRPr="00EE774A">
        <w:rPr>
          <w:rFonts w:hint="eastAsia"/>
          <w:b/>
          <w:color w:val="000000"/>
          <w:sz w:val="32"/>
          <w:szCs w:val="32"/>
        </w:rPr>
        <w:t>“乾元—日日</w:t>
      </w:r>
      <w:proofErr w:type="gramStart"/>
      <w:r w:rsidRPr="00EE774A">
        <w:rPr>
          <w:rFonts w:hint="eastAsia"/>
          <w:b/>
          <w:color w:val="000000"/>
          <w:sz w:val="32"/>
          <w:szCs w:val="32"/>
        </w:rPr>
        <w:t>鑫</w:t>
      </w:r>
      <w:proofErr w:type="gramEnd"/>
      <w:r w:rsidRPr="00EE774A">
        <w:rPr>
          <w:rFonts w:hint="eastAsia"/>
          <w:b/>
          <w:color w:val="000000"/>
          <w:sz w:val="32"/>
          <w:szCs w:val="32"/>
        </w:rPr>
        <w:t>高”（按日）开放式资产组合型人民币理财产品月度投资管理报告</w:t>
      </w:r>
    </w:p>
    <w:bookmarkEnd w:id="0"/>
    <w:p w:rsidR="00EE6423" w:rsidRPr="00EE774A" w:rsidRDefault="00EE6423" w:rsidP="00EE6423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 xml:space="preserve">10月31日    </w:t>
      </w:r>
    </w:p>
    <w:p w:rsidR="00EE6423" w:rsidRPr="00EE774A" w:rsidRDefault="00EE6423" w:rsidP="00EE6423">
      <w:pPr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“乾元-日日</w:t>
      </w:r>
      <w:proofErr w:type="gramStart"/>
      <w:r w:rsidRPr="00EE774A">
        <w:rPr>
          <w:rFonts w:ascii="宋体" w:hAnsi="宋体" w:hint="eastAsia"/>
          <w:color w:val="000000"/>
          <w:sz w:val="28"/>
          <w:szCs w:val="28"/>
        </w:rPr>
        <w:t>鑫</w:t>
      </w:r>
      <w:proofErr w:type="gramEnd"/>
      <w:r w:rsidRPr="00EE774A">
        <w:rPr>
          <w:rFonts w:ascii="宋体" w:hAnsi="宋体" w:hint="eastAsia"/>
          <w:color w:val="000000"/>
          <w:sz w:val="28"/>
          <w:szCs w:val="28"/>
        </w:rPr>
        <w:t>高”（按日）开放式资产组合型人民币理财产品于2011年4月28日正式成立。截至报告日，本产品规模为</w:t>
      </w:r>
      <w:r w:rsidRPr="00EE774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</w:t>
      </w:r>
      <w:r w:rsidRPr="00000D4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5D127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AC15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CF768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35334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16274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B6652B">
        <w:rPr>
          <w:rFonts w:ascii="宋体" w:hAnsi="宋体" w:cs="宋体"/>
          <w:bCs/>
          <w:kern w:val="0"/>
          <w:sz w:val="28"/>
          <w:szCs w:val="28"/>
        </w:rPr>
        <w:t>15,273,220,475.89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元。  </w:t>
      </w:r>
    </w:p>
    <w:p w:rsidR="00EE6423" w:rsidRPr="00EE774A" w:rsidRDefault="00EE6423" w:rsidP="00EE6423">
      <w:pPr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EE6423" w:rsidRPr="000147C5" w:rsidRDefault="00EE6423" w:rsidP="00EE6423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0147C5">
        <w:rPr>
          <w:rFonts w:ascii="宋体" w:hAnsi="宋体" w:hint="eastAsia"/>
          <w:color w:val="000000"/>
          <w:sz w:val="28"/>
          <w:szCs w:val="28"/>
        </w:rPr>
        <w:t>根据产品说明书的约定，2017年</w:t>
      </w:r>
      <w:r>
        <w:rPr>
          <w:rFonts w:ascii="宋体" w:hAnsi="宋体" w:hint="eastAsia"/>
          <w:color w:val="000000"/>
          <w:sz w:val="28"/>
          <w:szCs w:val="28"/>
        </w:rPr>
        <w:t>10</w:t>
      </w:r>
      <w:r w:rsidRPr="000147C5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0147C5">
        <w:rPr>
          <w:rFonts w:ascii="宋体" w:hAnsi="宋体" w:hint="eastAsia"/>
          <w:color w:val="000000"/>
          <w:sz w:val="28"/>
          <w:szCs w:val="28"/>
        </w:rPr>
        <w:t>日至2017年</w:t>
      </w:r>
      <w:r>
        <w:rPr>
          <w:rFonts w:ascii="宋体" w:hAnsi="宋体" w:hint="eastAsia"/>
          <w:color w:val="000000"/>
          <w:sz w:val="28"/>
          <w:szCs w:val="28"/>
        </w:rPr>
        <w:t>10</w:t>
      </w:r>
      <w:r w:rsidRPr="000147C5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31</w:t>
      </w:r>
      <w:r w:rsidRPr="000147C5">
        <w:rPr>
          <w:rFonts w:ascii="宋体" w:hAnsi="宋体" w:hint="eastAsia"/>
          <w:color w:val="000000"/>
          <w:sz w:val="28"/>
          <w:szCs w:val="28"/>
        </w:rPr>
        <w:t>日投资者实际收益率如下表所示：</w:t>
      </w:r>
    </w:p>
    <w:tbl>
      <w:tblPr>
        <w:tblW w:w="9734" w:type="dxa"/>
        <w:jc w:val="center"/>
        <w:tblInd w:w="-4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9"/>
        <w:gridCol w:w="1326"/>
        <w:gridCol w:w="1276"/>
        <w:gridCol w:w="1275"/>
        <w:gridCol w:w="1276"/>
        <w:gridCol w:w="1276"/>
        <w:gridCol w:w="1226"/>
      </w:tblGrid>
      <w:tr w:rsidR="00EE6423" w:rsidRPr="000147C5" w:rsidTr="007C70D5">
        <w:trPr>
          <w:trHeight w:val="838"/>
          <w:jc w:val="center"/>
        </w:trPr>
        <w:tc>
          <w:tcPr>
            <w:tcW w:w="2079" w:type="dxa"/>
            <w:vAlign w:val="center"/>
          </w:tcPr>
          <w:p w:rsidR="00EE6423" w:rsidRPr="000147C5" w:rsidRDefault="00EE6423" w:rsidP="007C70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投资期</w:t>
            </w:r>
          </w:p>
        </w:tc>
        <w:tc>
          <w:tcPr>
            <w:tcW w:w="1326" w:type="dxa"/>
            <w:vAlign w:val="center"/>
          </w:tcPr>
          <w:p w:rsidR="00EE6423" w:rsidRPr="000147C5" w:rsidRDefault="00EE6423" w:rsidP="007C70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1≤T&lt;</w:t>
            </w: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EE6423" w:rsidRPr="000147C5" w:rsidRDefault="00EE6423" w:rsidP="007C70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  <w:r w:rsidRPr="000147C5">
              <w:rPr>
                <w:rFonts w:ascii="宋体" w:hAnsi="宋体" w:hint="eastAsia"/>
                <w:color w:val="000000"/>
                <w:szCs w:val="21"/>
              </w:rPr>
              <w:t>≤T&lt;14</w:t>
            </w:r>
          </w:p>
        </w:tc>
        <w:tc>
          <w:tcPr>
            <w:tcW w:w="1275" w:type="dxa"/>
            <w:vAlign w:val="center"/>
          </w:tcPr>
          <w:p w:rsidR="00EE6423" w:rsidRPr="000147C5" w:rsidRDefault="00EE6423" w:rsidP="007C70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14≤T&lt;30</w:t>
            </w:r>
          </w:p>
        </w:tc>
        <w:tc>
          <w:tcPr>
            <w:tcW w:w="1276" w:type="dxa"/>
            <w:vAlign w:val="center"/>
          </w:tcPr>
          <w:p w:rsidR="00EE6423" w:rsidRPr="000147C5" w:rsidRDefault="00EE6423" w:rsidP="007C70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30≤T&lt;</w:t>
            </w:r>
            <w:r>
              <w:rPr>
                <w:rFonts w:ascii="宋体" w:hAnsi="宋体" w:hint="eastAsia"/>
                <w:color w:val="000000"/>
                <w:szCs w:val="21"/>
              </w:rPr>
              <w:t>60</w:t>
            </w:r>
          </w:p>
        </w:tc>
        <w:tc>
          <w:tcPr>
            <w:tcW w:w="1276" w:type="dxa"/>
            <w:vAlign w:val="center"/>
          </w:tcPr>
          <w:p w:rsidR="00EE6423" w:rsidRPr="000147C5" w:rsidRDefault="00EE6423" w:rsidP="007C70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60</w:t>
            </w:r>
            <w:r w:rsidRPr="000147C5">
              <w:rPr>
                <w:rFonts w:ascii="宋体" w:hAnsi="宋体" w:hint="eastAsia"/>
                <w:color w:val="000000"/>
                <w:szCs w:val="21"/>
              </w:rPr>
              <w:t>≤T&lt;90</w:t>
            </w:r>
          </w:p>
        </w:tc>
        <w:tc>
          <w:tcPr>
            <w:tcW w:w="1226" w:type="dxa"/>
            <w:vAlign w:val="center"/>
          </w:tcPr>
          <w:p w:rsidR="00EE6423" w:rsidRPr="000147C5" w:rsidRDefault="00EE6423" w:rsidP="007C70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T≥90</w:t>
            </w:r>
          </w:p>
        </w:tc>
      </w:tr>
      <w:tr w:rsidR="00EE6423" w:rsidRPr="000147C5" w:rsidTr="007C70D5">
        <w:trPr>
          <w:trHeight w:val="838"/>
          <w:jc w:val="center"/>
        </w:trPr>
        <w:tc>
          <w:tcPr>
            <w:tcW w:w="2079" w:type="dxa"/>
            <w:vAlign w:val="center"/>
          </w:tcPr>
          <w:p w:rsidR="00EE6423" w:rsidRPr="000147C5" w:rsidRDefault="00EE6423" w:rsidP="007C70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1326" w:type="dxa"/>
            <w:vAlign w:val="center"/>
          </w:tcPr>
          <w:p w:rsidR="00EE6423" w:rsidRPr="000147C5" w:rsidRDefault="00EE6423" w:rsidP="007C70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147C5">
              <w:rPr>
                <w:rFonts w:ascii="宋体" w:hAnsi="宋体"/>
                <w:color w:val="000000"/>
                <w:szCs w:val="21"/>
              </w:rPr>
              <w:t>1.90%</w:t>
            </w:r>
          </w:p>
        </w:tc>
        <w:tc>
          <w:tcPr>
            <w:tcW w:w="1276" w:type="dxa"/>
            <w:vAlign w:val="center"/>
          </w:tcPr>
          <w:p w:rsidR="00EE6423" w:rsidRPr="000147C5" w:rsidRDefault="00EE6423" w:rsidP="007C70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2.00</w:t>
            </w:r>
            <w:r w:rsidRPr="000147C5">
              <w:rPr>
                <w:rFonts w:ascii="宋体" w:hAnsi="宋体"/>
                <w:color w:val="000000"/>
                <w:szCs w:val="21"/>
              </w:rPr>
              <w:t>%</w:t>
            </w:r>
          </w:p>
        </w:tc>
        <w:tc>
          <w:tcPr>
            <w:tcW w:w="1275" w:type="dxa"/>
            <w:vAlign w:val="center"/>
          </w:tcPr>
          <w:p w:rsidR="00EE6423" w:rsidRPr="000147C5" w:rsidRDefault="00EE6423" w:rsidP="007C70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2.10</w:t>
            </w:r>
            <w:r w:rsidRPr="000147C5"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1276" w:type="dxa"/>
            <w:vAlign w:val="center"/>
          </w:tcPr>
          <w:p w:rsidR="00EE6423" w:rsidRPr="000147C5" w:rsidRDefault="00EE6423" w:rsidP="007C70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2.90</w:t>
            </w:r>
            <w:r w:rsidRPr="000147C5">
              <w:rPr>
                <w:rFonts w:ascii="宋体" w:hAnsi="宋体"/>
                <w:color w:val="000000"/>
                <w:szCs w:val="21"/>
              </w:rPr>
              <w:t>%</w:t>
            </w:r>
          </w:p>
        </w:tc>
        <w:tc>
          <w:tcPr>
            <w:tcW w:w="1276" w:type="dxa"/>
            <w:vAlign w:val="center"/>
          </w:tcPr>
          <w:p w:rsidR="00EE6423" w:rsidRPr="000147C5" w:rsidRDefault="00EE6423" w:rsidP="007C70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3.00</w:t>
            </w:r>
            <w:r w:rsidRPr="000147C5">
              <w:rPr>
                <w:rFonts w:ascii="宋体" w:hAnsi="宋体"/>
                <w:color w:val="000000"/>
                <w:szCs w:val="21"/>
              </w:rPr>
              <w:t>%</w:t>
            </w:r>
          </w:p>
        </w:tc>
        <w:tc>
          <w:tcPr>
            <w:tcW w:w="1226" w:type="dxa"/>
            <w:vAlign w:val="center"/>
          </w:tcPr>
          <w:p w:rsidR="00EE6423" w:rsidRPr="000147C5" w:rsidRDefault="00EE6423" w:rsidP="007C70D5">
            <w:pPr>
              <w:ind w:rightChars="-64" w:right="-134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3.20</w:t>
            </w:r>
            <w:r w:rsidRPr="000147C5">
              <w:rPr>
                <w:rFonts w:ascii="宋体" w:hAnsi="宋体"/>
                <w:color w:val="000000"/>
                <w:szCs w:val="21"/>
              </w:rPr>
              <w:t>%</w:t>
            </w:r>
          </w:p>
        </w:tc>
      </w:tr>
    </w:tbl>
    <w:p w:rsidR="00EE6423" w:rsidRPr="000147C5" w:rsidRDefault="00EE6423" w:rsidP="00EE6423">
      <w:pPr>
        <w:spacing w:line="480" w:lineRule="exact"/>
        <w:rPr>
          <w:rFonts w:ascii="宋体" w:hAnsi="宋体" w:hint="eastAsia"/>
          <w:color w:val="000000"/>
          <w:szCs w:val="21"/>
        </w:rPr>
      </w:pPr>
      <w:r w:rsidRPr="000147C5">
        <w:rPr>
          <w:rFonts w:ascii="宋体" w:hAnsi="宋体" w:hint="eastAsia"/>
          <w:color w:val="000000"/>
          <w:szCs w:val="21"/>
        </w:rPr>
        <w:t>其中：T为投资期，单位：天</w:t>
      </w:r>
    </w:p>
    <w:p w:rsidR="00EE6423" w:rsidRPr="00EE774A" w:rsidRDefault="00EE6423" w:rsidP="00EE6423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EE6423" w:rsidRPr="00EE774A" w:rsidRDefault="00EE6423" w:rsidP="00EE6423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EE6423" w:rsidRPr="00EE774A" w:rsidRDefault="00EE6423" w:rsidP="00EE6423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EE6423" w:rsidRPr="00EE774A" w:rsidRDefault="00EE6423" w:rsidP="00EE6423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579495" cy="2757170"/>
            <wp:effectExtent l="0" t="0" r="20955" b="24130"/>
            <wp:docPr id="3" name="图表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E6423" w:rsidRPr="00EE774A" w:rsidRDefault="00EE6423" w:rsidP="00EE6423">
      <w:pPr>
        <w:spacing w:line="480" w:lineRule="exact"/>
        <w:ind w:firstLineChars="146" w:firstLine="41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EE6423" w:rsidRPr="00EE774A" w:rsidRDefault="00EE6423" w:rsidP="00EE6423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750310" cy="2601595"/>
            <wp:effectExtent l="0" t="0" r="21590" b="27305"/>
            <wp:docPr id="2" name="图表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E6423" w:rsidRPr="00EE774A" w:rsidRDefault="00EE6423" w:rsidP="00EE6423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C75BE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C75BE9">
        <w:rPr>
          <w:rFonts w:ascii="宋体" w:hAnsi="宋体"/>
          <w:b/>
          <w:color w:val="000000"/>
          <w:sz w:val="28"/>
          <w:szCs w:val="28"/>
        </w:rPr>
        <w:t>）</w:t>
      </w:r>
      <w:r w:rsidRPr="00C75BE9">
        <w:rPr>
          <w:rFonts w:ascii="宋体" w:hAnsi="宋体" w:hint="eastAsia"/>
          <w:b/>
          <w:color w:val="000000"/>
          <w:sz w:val="28"/>
          <w:szCs w:val="28"/>
        </w:rPr>
        <w:t>融资类资产的行业占</w:t>
      </w:r>
      <w:proofErr w:type="gramStart"/>
      <w:r w:rsidRPr="00C75BE9">
        <w:rPr>
          <w:rFonts w:ascii="宋体" w:hAnsi="宋体" w:hint="eastAsia"/>
          <w:b/>
          <w:color w:val="000000"/>
          <w:sz w:val="28"/>
          <w:szCs w:val="28"/>
        </w:rPr>
        <w:t>比构成</w:t>
      </w:r>
      <w:proofErr w:type="gramEnd"/>
      <w:r w:rsidRPr="00C75BE9">
        <w:rPr>
          <w:rFonts w:ascii="宋体" w:hAnsi="宋体" w:hint="eastAsia"/>
          <w:b/>
          <w:color w:val="000000"/>
          <w:sz w:val="28"/>
          <w:szCs w:val="28"/>
        </w:rPr>
        <w:t>及当月增减变化情况</w:t>
      </w:r>
    </w:p>
    <w:p w:rsidR="00EE6423" w:rsidRPr="005622F6" w:rsidRDefault="00EE6423" w:rsidP="00EE6423">
      <w:pPr>
        <w:ind w:right="1400"/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59705" cy="3121025"/>
            <wp:effectExtent l="0" t="0" r="17145" b="22225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E6423" w:rsidRPr="00EE774A" w:rsidRDefault="00EE6423" w:rsidP="00EE6423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、产品整体运作情况</w:t>
      </w:r>
    </w:p>
    <w:p w:rsidR="00EE6423" w:rsidRPr="00EE774A" w:rsidRDefault="00EE6423" w:rsidP="00EE6423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EE6423" w:rsidRPr="00EE774A" w:rsidRDefault="00EE6423" w:rsidP="00EE6423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EE6423" w:rsidRPr="00EE774A" w:rsidRDefault="00EE6423" w:rsidP="00EE6423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EE6423" w:rsidRPr="00EE774A" w:rsidRDefault="00EE6423" w:rsidP="00EE6423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EE6423" w:rsidRDefault="00EE6423" w:rsidP="00EE6423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2017年11月7日</w:t>
      </w:r>
    </w:p>
    <w:p w:rsidR="00591739" w:rsidRDefault="00EE6423"/>
    <w:sectPr w:rsidR="00591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23"/>
    <w:rsid w:val="001C4012"/>
    <w:rsid w:val="00BF1905"/>
    <w:rsid w:val="00E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64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E642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64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E642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10&#26376;\10&#26376;&#27169;&#26495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10&#26376;\10&#26376;&#27169;&#26495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10&#26376;\10&#26376;&#27169;&#26495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81913266330997"/>
          <c:y val="7.1023255517772763E-2"/>
          <c:w val="0.79123261156213054"/>
          <c:h val="0.68958597928388288"/>
        </c:manualLayout>
      </c:layout>
      <c:pie3D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'17年10月'!$A$111:$A$113</c:f>
              <c:strCache>
                <c:ptCount val="3"/>
                <c:pt idx="0">
                  <c:v>现金及债券类</c:v>
                </c:pt>
                <c:pt idx="1">
                  <c:v>融资类</c:v>
                </c:pt>
                <c:pt idx="2">
                  <c:v>其他</c:v>
                </c:pt>
              </c:strCache>
            </c:strRef>
          </c:cat>
          <c:val>
            <c:numRef>
              <c:f>'17年10月'!$B$111:$B$113</c:f>
              <c:numCache>
                <c:formatCode>0.00%</c:formatCode>
                <c:ptCount val="3"/>
                <c:pt idx="0">
                  <c:v>6.3354860045217176E-2</c:v>
                </c:pt>
                <c:pt idx="1">
                  <c:v>0.81597988466613225</c:v>
                </c:pt>
                <c:pt idx="2">
                  <c:v>0.1206652552886151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094706911637257E-2"/>
          <c:y val="0.10879629629629774"/>
          <c:w val="0.64954811898512765"/>
          <c:h val="0.77314814814815513"/>
        </c:manualLayout>
      </c:layout>
      <c:pie3DChart>
        <c:varyColors val="1"/>
        <c:ser>
          <c:idx val="0"/>
          <c:order val="0"/>
          <c:tx>
            <c:strRef>
              <c:f>'17年10月'!$B$119</c:f>
              <c:strCache>
                <c:ptCount val="1"/>
                <c:pt idx="0">
                  <c:v>占比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'17年10月'!$A$120:$A$123</c:f>
              <c:strCache>
                <c:ptCount val="4"/>
                <c:pt idx="0">
                  <c:v>AAA</c:v>
                </c:pt>
                <c:pt idx="1">
                  <c:v>AA+</c:v>
                </c:pt>
                <c:pt idx="2">
                  <c:v>AA</c:v>
                </c:pt>
                <c:pt idx="3">
                  <c:v>AA-及以下</c:v>
                </c:pt>
              </c:strCache>
            </c:strRef>
          </c:cat>
          <c:val>
            <c:numRef>
              <c:f>'17年10月'!$B$120:$B$123</c:f>
              <c:numCache>
                <c:formatCode>0.00%</c:formatCode>
                <c:ptCount val="4"/>
                <c:pt idx="0">
                  <c:v>7.567322570157492E-2</c:v>
                </c:pt>
                <c:pt idx="1">
                  <c:v>0.27357380552986971</c:v>
                </c:pt>
                <c:pt idx="2">
                  <c:v>9.8562727023103286E-2</c:v>
                </c:pt>
                <c:pt idx="3">
                  <c:v>0.55219024174545206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4609785513474542E-2"/>
          <c:y val="0.81667609408791753"/>
          <c:w val="0.79301189563861163"/>
          <c:h val="8.652561524127074E-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'17年10月'!$B$127</c:f>
              <c:strCache>
                <c:ptCount val="1"/>
                <c:pt idx="0">
                  <c:v>10月各行业</c:v>
                </c:pt>
              </c:strCache>
            </c:strRef>
          </c:tx>
          <c:invertIfNegative val="0"/>
          <c:cat>
            <c:strRef>
              <c:f>'17年10月'!$A$128:$A$139</c:f>
              <c:strCache>
                <c:ptCount val="12"/>
                <c:pt idx="0">
                  <c:v>建筑业</c:v>
                </c:pt>
                <c:pt idx="1">
                  <c:v>租赁和商务服务业</c:v>
                </c:pt>
                <c:pt idx="2">
                  <c:v>综合</c:v>
                </c:pt>
                <c:pt idx="3">
                  <c:v>交通运输、仓储和邮政业</c:v>
                </c:pt>
                <c:pt idx="4">
                  <c:v>批发和零售业</c:v>
                </c:pt>
                <c:pt idx="5">
                  <c:v>公共管理和社会组织</c:v>
                </c:pt>
                <c:pt idx="6">
                  <c:v>制造业</c:v>
                </c:pt>
                <c:pt idx="7">
                  <c:v>金融业</c:v>
                </c:pt>
                <c:pt idx="8">
                  <c:v>信息传输、计算机服务和软件业</c:v>
                </c:pt>
                <c:pt idx="9">
                  <c:v>电力、燃气及水的生产和供应业</c:v>
                </c:pt>
                <c:pt idx="10">
                  <c:v>卫生、社会保障和社会福利业</c:v>
                </c:pt>
                <c:pt idx="11">
                  <c:v>水利、环境和公共设施管理业</c:v>
                </c:pt>
              </c:strCache>
            </c:strRef>
          </c:cat>
          <c:val>
            <c:numRef>
              <c:f>'17年10月'!$B$128:$B$139</c:f>
              <c:numCache>
                <c:formatCode>0.00%</c:formatCode>
                <c:ptCount val="12"/>
                <c:pt idx="0">
                  <c:v>4.3879513167022502E-2</c:v>
                </c:pt>
                <c:pt idx="1">
                  <c:v>0.49746291103219703</c:v>
                </c:pt>
                <c:pt idx="2">
                  <c:v>7.3938866359424232E-2</c:v>
                </c:pt>
                <c:pt idx="3">
                  <c:v>3.9926987834089092E-3</c:v>
                </c:pt>
                <c:pt idx="4">
                  <c:v>3.1719773668193001E-2</c:v>
                </c:pt>
                <c:pt idx="5">
                  <c:v>0.10795074488475939</c:v>
                </c:pt>
                <c:pt idx="6">
                  <c:v>0.10351441290319394</c:v>
                </c:pt>
                <c:pt idx="7">
                  <c:v>1.3308995944696363E-2</c:v>
                </c:pt>
                <c:pt idx="8">
                  <c:v>2.9575546543769694E-2</c:v>
                </c:pt>
                <c:pt idx="9">
                  <c:v>1.8484716589856058E-2</c:v>
                </c:pt>
                <c:pt idx="10">
                  <c:v>2.9575546543769695E-3</c:v>
                </c:pt>
                <c:pt idx="11">
                  <c:v>7.3214265469101883E-2</c:v>
                </c:pt>
              </c:numCache>
            </c:numRef>
          </c:val>
        </c:ser>
        <c:ser>
          <c:idx val="1"/>
          <c:order val="1"/>
          <c:tx>
            <c:strRef>
              <c:f>'17年10月'!$C$127</c:f>
              <c:strCache>
                <c:ptCount val="1"/>
                <c:pt idx="0">
                  <c:v>9月各行业</c:v>
                </c:pt>
              </c:strCache>
            </c:strRef>
          </c:tx>
          <c:invertIfNegative val="0"/>
          <c:cat>
            <c:strRef>
              <c:f>'17年10月'!$A$128:$A$139</c:f>
              <c:strCache>
                <c:ptCount val="12"/>
                <c:pt idx="0">
                  <c:v>建筑业</c:v>
                </c:pt>
                <c:pt idx="1">
                  <c:v>租赁和商务服务业</c:v>
                </c:pt>
                <c:pt idx="2">
                  <c:v>综合</c:v>
                </c:pt>
                <c:pt idx="3">
                  <c:v>交通运输、仓储和邮政业</c:v>
                </c:pt>
                <c:pt idx="4">
                  <c:v>批发和零售业</c:v>
                </c:pt>
                <c:pt idx="5">
                  <c:v>公共管理和社会组织</c:v>
                </c:pt>
                <c:pt idx="6">
                  <c:v>制造业</c:v>
                </c:pt>
                <c:pt idx="7">
                  <c:v>金融业</c:v>
                </c:pt>
                <c:pt idx="8">
                  <c:v>信息传输、计算机服务和软件业</c:v>
                </c:pt>
                <c:pt idx="9">
                  <c:v>电力、燃气及水的生产和供应业</c:v>
                </c:pt>
                <c:pt idx="10">
                  <c:v>卫生、社会保障和社会福利业</c:v>
                </c:pt>
                <c:pt idx="11">
                  <c:v>水利、环境和公共设施管理业</c:v>
                </c:pt>
              </c:strCache>
            </c:strRef>
          </c:cat>
          <c:val>
            <c:numRef>
              <c:f>'17年10月'!$C$128:$C$139</c:f>
              <c:numCache>
                <c:formatCode>0.00%</c:formatCode>
                <c:ptCount val="12"/>
                <c:pt idx="0">
                  <c:v>5.1897021282947618E-2</c:v>
                </c:pt>
                <c:pt idx="1">
                  <c:v>0.5555907584725408</c:v>
                </c:pt>
                <c:pt idx="2">
                  <c:v>8.257851978551535E-2</c:v>
                </c:pt>
                <c:pt idx="3">
                  <c:v>4.4592400684178284E-3</c:v>
                </c:pt>
                <c:pt idx="4">
                  <c:v>4.3684036966537616E-2</c:v>
                </c:pt>
                <c:pt idx="5">
                  <c:v>0.12056463888685241</c:v>
                </c:pt>
                <c:pt idx="6">
                  <c:v>5.2024467464874671E-2</c:v>
                </c:pt>
                <c:pt idx="7">
                  <c:v>0</c:v>
                </c:pt>
                <c:pt idx="8">
                  <c:v>0</c:v>
                </c:pt>
                <c:pt idx="9">
                  <c:v>4.1289259892757675E-3</c:v>
                </c:pt>
                <c:pt idx="10">
                  <c:v>3.3031407914206139E-3</c:v>
                </c:pt>
                <c:pt idx="11">
                  <c:v>8.1769250291617301E-2</c:v>
                </c:pt>
              </c:numCache>
            </c:numRef>
          </c:val>
        </c:ser>
        <c:ser>
          <c:idx val="2"/>
          <c:order val="2"/>
          <c:tx>
            <c:strRef>
              <c:f>'17年10月'!$D$127</c:f>
              <c:strCache>
                <c:ptCount val="1"/>
                <c:pt idx="0">
                  <c:v>行业变化</c:v>
                </c:pt>
              </c:strCache>
            </c:strRef>
          </c:tx>
          <c:invertIfNegative val="0"/>
          <c:cat>
            <c:strRef>
              <c:f>'17年10月'!$A$128:$A$139</c:f>
              <c:strCache>
                <c:ptCount val="12"/>
                <c:pt idx="0">
                  <c:v>建筑业</c:v>
                </c:pt>
                <c:pt idx="1">
                  <c:v>租赁和商务服务业</c:v>
                </c:pt>
                <c:pt idx="2">
                  <c:v>综合</c:v>
                </c:pt>
                <c:pt idx="3">
                  <c:v>交通运输、仓储和邮政业</c:v>
                </c:pt>
                <c:pt idx="4">
                  <c:v>批发和零售业</c:v>
                </c:pt>
                <c:pt idx="5">
                  <c:v>公共管理和社会组织</c:v>
                </c:pt>
                <c:pt idx="6">
                  <c:v>制造业</c:v>
                </c:pt>
                <c:pt idx="7">
                  <c:v>金融业</c:v>
                </c:pt>
                <c:pt idx="8">
                  <c:v>信息传输、计算机服务和软件业</c:v>
                </c:pt>
                <c:pt idx="9">
                  <c:v>电力、燃气及水的生产和供应业</c:v>
                </c:pt>
                <c:pt idx="10">
                  <c:v>卫生、社会保障和社会福利业</c:v>
                </c:pt>
                <c:pt idx="11">
                  <c:v>水利、环境和公共设施管理业</c:v>
                </c:pt>
              </c:strCache>
            </c:strRef>
          </c:cat>
          <c:val>
            <c:numRef>
              <c:f>'17年10月'!$D$128:$D$139</c:f>
              <c:numCache>
                <c:formatCode>0.00%</c:formatCode>
                <c:ptCount val="12"/>
                <c:pt idx="0">
                  <c:v>-8.0175081159251163E-3</c:v>
                </c:pt>
                <c:pt idx="1">
                  <c:v>-5.8127847440343772E-2</c:v>
                </c:pt>
                <c:pt idx="2">
                  <c:v>-8.6396534260911179E-3</c:v>
                </c:pt>
                <c:pt idx="3">
                  <c:v>-4.6654128500891925E-4</c:v>
                </c:pt>
                <c:pt idx="4">
                  <c:v>-1.1964263298344616E-2</c:v>
                </c:pt>
                <c:pt idx="5">
                  <c:v>-1.2613894002093021E-2</c:v>
                </c:pt>
                <c:pt idx="6">
                  <c:v>5.1489945438319265E-2</c:v>
                </c:pt>
                <c:pt idx="7">
                  <c:v>1.3308995944696363E-2</c:v>
                </c:pt>
                <c:pt idx="8">
                  <c:v>2.9575546543769694E-2</c:v>
                </c:pt>
                <c:pt idx="9">
                  <c:v>1.4355790600580291E-2</c:v>
                </c:pt>
                <c:pt idx="10">
                  <c:v>-3.4558613704364438E-4</c:v>
                </c:pt>
                <c:pt idx="11">
                  <c:v>-8.5549848225154185E-3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886016"/>
        <c:axId val="140887552"/>
      </c:barChart>
      <c:catAx>
        <c:axId val="1408860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0887552"/>
        <c:crosses val="autoZero"/>
        <c:auto val="1"/>
        <c:lblAlgn val="ctr"/>
        <c:lblOffset val="100"/>
        <c:noMultiLvlLbl val="0"/>
      </c:catAx>
      <c:valAx>
        <c:axId val="140887552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140886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C7EDC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2017-11-07T07:17:00Z</dcterms:created>
  <dcterms:modified xsi:type="dcterms:W3CDTF">2017-11-07T07:17:00Z</dcterms:modified>
</cp:coreProperties>
</file>