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C24" w:rsidRDefault="001A5C24" w:rsidP="001A5C24">
      <w:pPr>
        <w:jc w:val="center"/>
        <w:rPr>
          <w:rFonts w:hint="eastAsia"/>
          <w:b/>
          <w:color w:val="000000"/>
          <w:sz w:val="32"/>
          <w:szCs w:val="32"/>
        </w:rPr>
      </w:pPr>
      <w:r w:rsidRPr="00A62E1D">
        <w:rPr>
          <w:rFonts w:hint="eastAsia"/>
          <w:b/>
          <w:color w:val="000000"/>
          <w:sz w:val="32"/>
          <w:szCs w:val="32"/>
        </w:rPr>
        <w:t>“乾元—满溢”</w:t>
      </w:r>
      <w:r>
        <w:rPr>
          <w:rFonts w:hint="eastAsia"/>
          <w:b/>
          <w:color w:val="000000"/>
          <w:sz w:val="32"/>
          <w:szCs w:val="32"/>
        </w:rPr>
        <w:t>18</w:t>
      </w:r>
      <w:r w:rsidRPr="00A62E1D">
        <w:rPr>
          <w:rFonts w:hint="eastAsia"/>
          <w:b/>
          <w:color w:val="000000"/>
          <w:sz w:val="32"/>
          <w:szCs w:val="32"/>
        </w:rPr>
        <w:t>0</w:t>
      </w:r>
      <w:r w:rsidRPr="00A62E1D">
        <w:rPr>
          <w:rFonts w:hint="eastAsia"/>
          <w:b/>
          <w:color w:val="000000"/>
          <w:sz w:val="32"/>
          <w:szCs w:val="32"/>
        </w:rPr>
        <w:t>天开放式资产组合型人民币理财产品</w:t>
      </w:r>
    </w:p>
    <w:p w:rsidR="001A5C24" w:rsidRPr="00EE774A" w:rsidRDefault="001A5C24" w:rsidP="001A5C24">
      <w:pPr>
        <w:jc w:val="center"/>
        <w:rPr>
          <w:b/>
          <w:color w:val="000000"/>
          <w:sz w:val="32"/>
          <w:szCs w:val="32"/>
        </w:rPr>
      </w:pPr>
      <w:r w:rsidRPr="00A62E1D">
        <w:rPr>
          <w:rFonts w:hint="eastAsia"/>
          <w:b/>
          <w:color w:val="000000"/>
          <w:sz w:val="32"/>
          <w:szCs w:val="32"/>
        </w:rPr>
        <w:t>（机构版）</w:t>
      </w:r>
      <w:r w:rsidRPr="00EE774A">
        <w:rPr>
          <w:rFonts w:hint="eastAsia"/>
          <w:b/>
          <w:color w:val="000000"/>
          <w:sz w:val="32"/>
          <w:szCs w:val="32"/>
        </w:rPr>
        <w:t>月度投资管理报告</w:t>
      </w:r>
    </w:p>
    <w:p w:rsidR="001A5C24" w:rsidRPr="00EE774A" w:rsidRDefault="001A5C24" w:rsidP="001A5C24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 w:rsidRPr="00EE774A">
        <w:rPr>
          <w:rFonts w:ascii="宋体" w:hAnsi="宋体" w:hint="eastAsia"/>
          <w:color w:val="000000"/>
          <w:szCs w:val="21"/>
        </w:rPr>
        <w:t>报告日：201</w:t>
      </w:r>
      <w:r>
        <w:rPr>
          <w:rFonts w:ascii="宋体" w:hAnsi="宋体" w:hint="eastAsia"/>
          <w:color w:val="000000"/>
          <w:szCs w:val="21"/>
        </w:rPr>
        <w:t>7</w:t>
      </w:r>
      <w:r w:rsidRPr="00EE774A">
        <w:rPr>
          <w:rFonts w:ascii="宋体" w:hAnsi="宋体" w:hint="eastAsia"/>
          <w:color w:val="000000"/>
          <w:szCs w:val="21"/>
        </w:rPr>
        <w:t>年</w:t>
      </w:r>
      <w:r>
        <w:rPr>
          <w:rFonts w:ascii="宋体" w:hAnsi="宋体" w:hint="eastAsia"/>
          <w:color w:val="000000"/>
          <w:szCs w:val="21"/>
        </w:rPr>
        <w:t xml:space="preserve">10月31日    </w:t>
      </w:r>
    </w:p>
    <w:p w:rsidR="001A5C24" w:rsidRPr="00EE774A" w:rsidRDefault="001A5C24" w:rsidP="001A5C24">
      <w:pPr>
        <w:ind w:firstLineChars="200" w:firstLine="560"/>
        <w:rPr>
          <w:rFonts w:ascii="宋体" w:hAnsi="宋体" w:cs="宋体"/>
          <w:bCs/>
          <w:color w:val="000000"/>
          <w:kern w:val="0"/>
          <w:sz w:val="28"/>
          <w:szCs w:val="28"/>
        </w:rPr>
      </w:pPr>
      <w:r w:rsidRPr="00A62E1D">
        <w:rPr>
          <w:rFonts w:ascii="宋体" w:hAnsi="宋体" w:hint="eastAsia"/>
          <w:color w:val="000000"/>
          <w:sz w:val="28"/>
          <w:szCs w:val="28"/>
        </w:rPr>
        <w:t>“乾元—满溢”</w:t>
      </w:r>
      <w:r>
        <w:rPr>
          <w:rFonts w:ascii="宋体" w:hAnsi="宋体" w:hint="eastAsia"/>
          <w:color w:val="000000"/>
          <w:sz w:val="28"/>
          <w:szCs w:val="28"/>
        </w:rPr>
        <w:t>18</w:t>
      </w:r>
      <w:r w:rsidRPr="00A62E1D">
        <w:rPr>
          <w:rFonts w:ascii="宋体" w:hAnsi="宋体" w:hint="eastAsia"/>
          <w:color w:val="000000"/>
          <w:sz w:val="28"/>
          <w:szCs w:val="28"/>
        </w:rPr>
        <w:t>0天开放式资产组合型人民币理财产品（机构版）</w:t>
      </w:r>
      <w:r w:rsidRPr="00EE774A">
        <w:rPr>
          <w:rFonts w:ascii="宋体" w:hAnsi="宋体" w:hint="eastAsia"/>
          <w:color w:val="000000"/>
          <w:sz w:val="28"/>
          <w:szCs w:val="28"/>
        </w:rPr>
        <w:t>于201</w:t>
      </w:r>
      <w:r>
        <w:rPr>
          <w:rFonts w:ascii="宋体" w:hAnsi="宋体" w:hint="eastAsia"/>
          <w:color w:val="000000"/>
          <w:sz w:val="28"/>
          <w:szCs w:val="28"/>
        </w:rPr>
        <w:t>7</w:t>
      </w:r>
      <w:r w:rsidRPr="00EE774A">
        <w:rPr>
          <w:rFonts w:ascii="宋体" w:hAnsi="宋体" w:hint="eastAsia"/>
          <w:color w:val="000000"/>
          <w:sz w:val="28"/>
          <w:szCs w:val="28"/>
        </w:rPr>
        <w:t>年</w:t>
      </w:r>
      <w:r>
        <w:rPr>
          <w:rFonts w:ascii="宋体" w:hAnsi="宋体" w:hint="eastAsia"/>
          <w:color w:val="000000"/>
          <w:sz w:val="28"/>
          <w:szCs w:val="28"/>
        </w:rPr>
        <w:t>9</w:t>
      </w:r>
      <w:r w:rsidRPr="00EE774A"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 w:hint="eastAsia"/>
          <w:color w:val="000000"/>
          <w:sz w:val="28"/>
          <w:szCs w:val="28"/>
        </w:rPr>
        <w:t>15</w:t>
      </w:r>
      <w:r w:rsidRPr="00EE774A">
        <w:rPr>
          <w:rFonts w:ascii="宋体" w:hAnsi="宋体" w:hint="eastAsia"/>
          <w:color w:val="000000"/>
          <w:sz w:val="28"/>
          <w:szCs w:val="28"/>
        </w:rPr>
        <w:t>日正式成立。截至报告日，本产品规模为</w:t>
      </w:r>
      <w:r w:rsidRPr="00EE774A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           </w:t>
      </w:r>
      <w:r w:rsidRPr="00000D4B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</w:t>
      </w:r>
      <w:r w:rsidRPr="0005385D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Pr="005D1270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Pr="00AC15F3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</w:t>
      </w:r>
      <w:r w:rsidRPr="00CF768F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Pr="0035334D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Pr="00162740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Pr="00B6652B">
        <w:rPr>
          <w:rFonts w:ascii="宋体" w:hAnsi="宋体" w:cs="宋体"/>
          <w:bCs/>
          <w:kern w:val="0"/>
          <w:sz w:val="28"/>
          <w:szCs w:val="28"/>
        </w:rPr>
        <w:t>727,955,000.00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元。 </w:t>
      </w:r>
    </w:p>
    <w:p w:rsidR="001A5C24" w:rsidRPr="00EE774A" w:rsidRDefault="001A5C24" w:rsidP="001A5C24">
      <w:pPr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EE774A">
        <w:rPr>
          <w:rFonts w:ascii="宋体" w:hAnsi="宋体" w:hint="eastAsia"/>
          <w:b/>
          <w:color w:val="000000"/>
          <w:sz w:val="28"/>
          <w:szCs w:val="28"/>
        </w:rPr>
        <w:t>一、报告期投资者实际收益率</w:t>
      </w:r>
    </w:p>
    <w:p w:rsidR="001A5C24" w:rsidRPr="00EE774A" w:rsidRDefault="001A5C24" w:rsidP="001A5C24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根据产品说明书的约定，201</w:t>
      </w:r>
      <w:r>
        <w:rPr>
          <w:rFonts w:ascii="宋体" w:hAnsi="宋体" w:hint="eastAsia"/>
          <w:color w:val="000000"/>
          <w:sz w:val="28"/>
          <w:szCs w:val="28"/>
        </w:rPr>
        <w:t>7</w:t>
      </w:r>
      <w:r w:rsidRPr="00EE774A">
        <w:rPr>
          <w:rFonts w:ascii="宋体" w:hAnsi="宋体" w:hint="eastAsia"/>
          <w:color w:val="000000"/>
          <w:sz w:val="28"/>
          <w:szCs w:val="28"/>
        </w:rPr>
        <w:t>年</w:t>
      </w:r>
      <w:r>
        <w:rPr>
          <w:rFonts w:ascii="宋体" w:hAnsi="宋体" w:hint="eastAsia"/>
          <w:color w:val="000000"/>
          <w:sz w:val="28"/>
          <w:szCs w:val="28"/>
        </w:rPr>
        <w:t>10</w:t>
      </w:r>
      <w:r w:rsidRPr="00EE774A"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 w:hint="eastAsia"/>
          <w:color w:val="000000"/>
          <w:sz w:val="28"/>
          <w:szCs w:val="28"/>
        </w:rPr>
        <w:t>1</w:t>
      </w:r>
      <w:r w:rsidRPr="00EE774A">
        <w:rPr>
          <w:rFonts w:ascii="宋体" w:hAnsi="宋体" w:hint="eastAsia"/>
          <w:color w:val="000000"/>
          <w:sz w:val="28"/>
          <w:szCs w:val="28"/>
        </w:rPr>
        <w:t>日至201</w:t>
      </w:r>
      <w:r>
        <w:rPr>
          <w:rFonts w:ascii="宋体" w:hAnsi="宋体" w:hint="eastAsia"/>
          <w:color w:val="000000"/>
          <w:sz w:val="28"/>
          <w:szCs w:val="28"/>
        </w:rPr>
        <w:t>7</w:t>
      </w:r>
      <w:r w:rsidRPr="00EE774A">
        <w:rPr>
          <w:rFonts w:ascii="宋体" w:hAnsi="宋体" w:hint="eastAsia"/>
          <w:color w:val="000000"/>
          <w:sz w:val="28"/>
          <w:szCs w:val="28"/>
        </w:rPr>
        <w:t>年</w:t>
      </w:r>
      <w:r>
        <w:rPr>
          <w:rFonts w:ascii="宋体" w:hAnsi="宋体" w:hint="eastAsia"/>
          <w:color w:val="000000"/>
          <w:sz w:val="28"/>
          <w:szCs w:val="28"/>
        </w:rPr>
        <w:t>10</w:t>
      </w:r>
      <w:r w:rsidRPr="00EE774A"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 w:hint="eastAsia"/>
          <w:color w:val="000000"/>
          <w:sz w:val="28"/>
          <w:szCs w:val="28"/>
        </w:rPr>
        <w:t>31</w:t>
      </w:r>
      <w:r w:rsidRPr="00EE774A">
        <w:rPr>
          <w:rFonts w:ascii="宋体" w:hAnsi="宋体" w:hint="eastAsia"/>
          <w:color w:val="000000"/>
          <w:sz w:val="28"/>
          <w:szCs w:val="28"/>
        </w:rPr>
        <w:t>日</w:t>
      </w:r>
      <w:r w:rsidRPr="009E0E2D">
        <w:rPr>
          <w:rFonts w:ascii="宋体" w:hAnsi="宋体" w:hint="eastAsia"/>
          <w:color w:val="000000"/>
          <w:sz w:val="28"/>
          <w:szCs w:val="28"/>
        </w:rPr>
        <w:t>投资者实际收益率</w:t>
      </w:r>
      <w:r>
        <w:rPr>
          <w:rFonts w:ascii="宋体" w:hAnsi="宋体" w:hint="eastAsia"/>
          <w:color w:val="000000"/>
          <w:sz w:val="28"/>
          <w:szCs w:val="28"/>
        </w:rPr>
        <w:t>为4.75%。</w:t>
      </w:r>
    </w:p>
    <w:p w:rsidR="001A5C24" w:rsidRPr="00EE774A" w:rsidRDefault="001A5C24" w:rsidP="001A5C24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 w:rsidRPr="009E0E2D">
        <w:rPr>
          <w:rFonts w:ascii="宋体" w:hAnsi="宋体" w:hint="eastAsia"/>
          <w:color w:val="000000"/>
          <w:sz w:val="28"/>
          <w:szCs w:val="28"/>
        </w:rPr>
        <w:t>相关</w:t>
      </w:r>
      <w:r w:rsidRPr="00EE774A">
        <w:rPr>
          <w:rFonts w:ascii="宋体" w:hAnsi="宋体" w:hint="eastAsia"/>
          <w:color w:val="000000"/>
          <w:sz w:val="28"/>
          <w:szCs w:val="28"/>
        </w:rPr>
        <w:t>收益及计算方法，请具体查阅对应的收益率调整公告及产品说明书。</w:t>
      </w:r>
    </w:p>
    <w:p w:rsidR="001A5C24" w:rsidRPr="00EE774A" w:rsidRDefault="001A5C24" w:rsidP="001A5C24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EE774A">
        <w:rPr>
          <w:rFonts w:ascii="宋体" w:hAnsi="宋体" w:hint="eastAsia"/>
          <w:b/>
          <w:color w:val="000000"/>
          <w:sz w:val="28"/>
          <w:szCs w:val="28"/>
        </w:rPr>
        <w:t>二、产品投资组合详细情况</w:t>
      </w:r>
    </w:p>
    <w:p w:rsidR="001A5C24" w:rsidRPr="00EE774A" w:rsidRDefault="001A5C24" w:rsidP="001A5C24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EE774A">
        <w:rPr>
          <w:rFonts w:ascii="宋体" w:hAnsi="宋体" w:hint="eastAsia"/>
          <w:b/>
          <w:color w:val="000000"/>
          <w:sz w:val="28"/>
          <w:szCs w:val="28"/>
        </w:rPr>
        <w:t>（一）投资组合的基本情况</w:t>
      </w:r>
    </w:p>
    <w:p w:rsidR="001A5C24" w:rsidRPr="00EE774A" w:rsidRDefault="001A5C24" w:rsidP="001A5C24">
      <w:pPr>
        <w:jc w:val="center"/>
        <w:rPr>
          <w:rFonts w:ascii="宋体" w:hAnsi="宋体" w:hint="eastAsia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3834130" cy="2885440"/>
            <wp:effectExtent l="0" t="0" r="13970" b="10160"/>
            <wp:docPr id="3" name="图表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A5C24" w:rsidRPr="00EE774A" w:rsidRDefault="001A5C24" w:rsidP="001A5C24">
      <w:pPr>
        <w:spacing w:line="480" w:lineRule="exact"/>
        <w:ind w:firstLineChars="146" w:firstLine="410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 xml:space="preserve"> </w:t>
      </w:r>
      <w:r w:rsidRPr="00EE774A">
        <w:rPr>
          <w:rFonts w:ascii="宋体" w:hAnsi="宋体" w:hint="eastAsia"/>
          <w:b/>
          <w:color w:val="000000"/>
          <w:sz w:val="28"/>
          <w:szCs w:val="28"/>
        </w:rPr>
        <w:t>（二）融资类资产的行内评级构成</w:t>
      </w:r>
    </w:p>
    <w:p w:rsidR="001A5C24" w:rsidRPr="00EE774A" w:rsidRDefault="001A5C24" w:rsidP="001A5C24">
      <w:pPr>
        <w:jc w:val="center"/>
        <w:rPr>
          <w:rFonts w:ascii="宋体" w:hAnsi="宋体" w:hint="eastAsia"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3568065" cy="2382520"/>
            <wp:effectExtent l="0" t="0" r="13335" b="17780"/>
            <wp:docPr id="2" name="图表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A5C24" w:rsidRPr="00EE774A" w:rsidRDefault="001A5C24" w:rsidP="001A5C24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C75BE9">
        <w:rPr>
          <w:rFonts w:ascii="宋体" w:hAnsi="宋体" w:hint="eastAsia"/>
          <w:b/>
          <w:color w:val="000000"/>
          <w:sz w:val="28"/>
          <w:szCs w:val="28"/>
        </w:rPr>
        <w:t>（三</w:t>
      </w:r>
      <w:r w:rsidRPr="00C75BE9">
        <w:rPr>
          <w:rFonts w:ascii="宋体" w:hAnsi="宋体"/>
          <w:b/>
          <w:color w:val="000000"/>
          <w:sz w:val="28"/>
          <w:szCs w:val="28"/>
        </w:rPr>
        <w:t>）</w:t>
      </w:r>
      <w:r w:rsidRPr="003B67E4">
        <w:rPr>
          <w:rFonts w:ascii="宋体" w:hAnsi="宋体" w:hint="eastAsia"/>
          <w:b/>
          <w:color w:val="000000"/>
          <w:sz w:val="28"/>
          <w:szCs w:val="28"/>
        </w:rPr>
        <w:t>融资类资产的行业占</w:t>
      </w:r>
      <w:proofErr w:type="gramStart"/>
      <w:r w:rsidRPr="003B67E4">
        <w:rPr>
          <w:rFonts w:ascii="宋体" w:hAnsi="宋体" w:hint="eastAsia"/>
          <w:b/>
          <w:color w:val="000000"/>
          <w:sz w:val="28"/>
          <w:szCs w:val="28"/>
        </w:rPr>
        <w:t>比构成</w:t>
      </w:r>
      <w:proofErr w:type="gramEnd"/>
      <w:r w:rsidRPr="003B67E4">
        <w:rPr>
          <w:rFonts w:ascii="宋体" w:hAnsi="宋体" w:hint="eastAsia"/>
          <w:b/>
          <w:color w:val="000000"/>
          <w:sz w:val="28"/>
          <w:szCs w:val="28"/>
        </w:rPr>
        <w:t>及当月增减变化情况</w:t>
      </w:r>
    </w:p>
    <w:p w:rsidR="001A5C24" w:rsidRPr="005622F6" w:rsidRDefault="001A5C24" w:rsidP="001A5C24">
      <w:pPr>
        <w:ind w:right="-58"/>
        <w:jc w:val="center"/>
        <w:rPr>
          <w:rFonts w:ascii="宋体" w:hAnsi="宋体" w:hint="eastAsia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5260975" cy="1069340"/>
            <wp:effectExtent l="0" t="0" r="15875" b="16510"/>
            <wp:docPr id="1" name="图表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A5C24" w:rsidRPr="00EE774A" w:rsidRDefault="001A5C24" w:rsidP="001A5C24">
      <w:pPr>
        <w:spacing w:line="480" w:lineRule="exact"/>
        <w:ind w:firstLineChars="200" w:firstLine="562"/>
        <w:outlineLvl w:val="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三</w:t>
      </w:r>
      <w:r w:rsidRPr="00EE774A">
        <w:rPr>
          <w:rFonts w:ascii="宋体" w:hAnsi="宋体" w:hint="eastAsia"/>
          <w:b/>
          <w:color w:val="000000"/>
          <w:sz w:val="28"/>
          <w:szCs w:val="28"/>
        </w:rPr>
        <w:t>、产品整体运作情况</w:t>
      </w:r>
    </w:p>
    <w:p w:rsidR="001A5C24" w:rsidRPr="00EE774A" w:rsidRDefault="001A5C24" w:rsidP="001A5C24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（1）自本产品成立起至本报告日，产品管理人恪尽职守、勤勉尽责、谨慎管理，忠实履行有关法律、行政法规和相关文件的规定。</w:t>
      </w:r>
    </w:p>
    <w:p w:rsidR="001A5C24" w:rsidRPr="00EE774A" w:rsidRDefault="001A5C24" w:rsidP="001A5C24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（2）截至本报告日，所有投资资产正常运营，未发现有异常情况或者不利情况。</w:t>
      </w:r>
    </w:p>
    <w:p w:rsidR="001A5C24" w:rsidRPr="00EE774A" w:rsidRDefault="001A5C24" w:rsidP="001A5C24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（3）本产品自成立至本报告日，没有发生涉诉及诉讼等损害投资者利益的情形。</w:t>
      </w:r>
    </w:p>
    <w:p w:rsidR="001A5C24" w:rsidRPr="00EE774A" w:rsidRDefault="001A5C24" w:rsidP="001A5C24">
      <w:pPr>
        <w:spacing w:line="480" w:lineRule="exact"/>
        <w:ind w:right="362" w:firstLineChars="2050" w:firstLine="5740"/>
        <w:jc w:val="right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中国建设银行</w:t>
      </w:r>
    </w:p>
    <w:p w:rsidR="001A5C24" w:rsidRPr="00EE774A" w:rsidRDefault="001A5C24" w:rsidP="001A5C24">
      <w:pPr>
        <w:spacing w:line="480" w:lineRule="exact"/>
        <w:ind w:right="222" w:firstLineChars="200" w:firstLine="560"/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2017年11月7日</w:t>
      </w:r>
    </w:p>
    <w:p w:rsidR="001A5C24" w:rsidRDefault="001A5C24" w:rsidP="001A5C24">
      <w:pPr>
        <w:spacing w:line="480" w:lineRule="exact"/>
        <w:ind w:right="222" w:firstLineChars="200" w:firstLine="560"/>
        <w:jc w:val="right"/>
        <w:rPr>
          <w:rFonts w:ascii="宋体" w:hAnsi="宋体" w:hint="eastAsia"/>
          <w:color w:val="000000"/>
          <w:sz w:val="28"/>
          <w:szCs w:val="28"/>
        </w:rPr>
      </w:pPr>
    </w:p>
    <w:p w:rsidR="001A5C24" w:rsidRDefault="001A5C24" w:rsidP="001A5C24">
      <w:pPr>
        <w:spacing w:line="480" w:lineRule="exact"/>
        <w:ind w:right="222" w:firstLineChars="200" w:firstLine="560"/>
        <w:jc w:val="right"/>
        <w:rPr>
          <w:rFonts w:ascii="宋体" w:hAnsi="宋体" w:hint="eastAsia"/>
          <w:color w:val="000000"/>
          <w:sz w:val="28"/>
          <w:szCs w:val="28"/>
        </w:rPr>
      </w:pPr>
    </w:p>
    <w:p w:rsidR="001A5C24" w:rsidRDefault="001A5C24" w:rsidP="001A5C24">
      <w:pPr>
        <w:spacing w:line="480" w:lineRule="exact"/>
        <w:ind w:right="222" w:firstLineChars="200" w:firstLine="560"/>
        <w:jc w:val="right"/>
        <w:rPr>
          <w:rFonts w:ascii="宋体" w:hAnsi="宋体" w:hint="eastAsia"/>
          <w:color w:val="000000"/>
          <w:sz w:val="28"/>
          <w:szCs w:val="28"/>
        </w:rPr>
      </w:pPr>
    </w:p>
    <w:p w:rsidR="001A5C24" w:rsidRDefault="001A5C24" w:rsidP="001A5C24">
      <w:pPr>
        <w:spacing w:line="480" w:lineRule="exact"/>
        <w:ind w:right="222" w:firstLineChars="200" w:firstLine="560"/>
        <w:jc w:val="right"/>
        <w:rPr>
          <w:rFonts w:ascii="宋体" w:hAnsi="宋体" w:hint="eastAsia"/>
          <w:color w:val="000000"/>
          <w:sz w:val="28"/>
          <w:szCs w:val="28"/>
        </w:rPr>
      </w:pPr>
    </w:p>
    <w:p w:rsidR="001A5C24" w:rsidRDefault="001A5C24" w:rsidP="001A5C24">
      <w:pPr>
        <w:spacing w:line="480" w:lineRule="exact"/>
        <w:ind w:right="222" w:firstLineChars="200" w:firstLine="560"/>
        <w:jc w:val="right"/>
        <w:rPr>
          <w:rFonts w:ascii="宋体" w:hAnsi="宋体" w:hint="eastAsia"/>
          <w:color w:val="000000"/>
          <w:sz w:val="28"/>
          <w:szCs w:val="28"/>
        </w:rPr>
      </w:pPr>
    </w:p>
    <w:p w:rsidR="00615B9D" w:rsidRDefault="001A5C24">
      <w:bookmarkStart w:id="0" w:name="_GoBack"/>
      <w:bookmarkEnd w:id="0"/>
    </w:p>
    <w:sectPr w:rsidR="00615B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098"/>
    <w:rsid w:val="001A5C24"/>
    <w:rsid w:val="001B2098"/>
    <w:rsid w:val="005226E7"/>
    <w:rsid w:val="00F6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C2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A5C2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A5C24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C2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A5C2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A5C2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21488;&#36134;&#23703;\&#24320;&#25918;&#24335;&#25259;&#38706;\2017\10&#26376;\10&#26376;&#27169;&#26495;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21488;&#36134;&#23703;\&#24320;&#25918;&#24335;&#25259;&#38706;\2017\10&#26376;\10&#26376;&#27169;&#26495;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21488;&#36134;&#23703;\&#24320;&#25918;&#24335;&#25259;&#38706;\2017\10&#26376;\10&#26376;&#27169;&#26495;.xlsx" TargetMode="External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81913266330997"/>
          <c:y val="7.1023255517772763E-2"/>
          <c:w val="0.79123261156213054"/>
          <c:h val="0.68958597928388288"/>
        </c:manualLayout>
      </c:layout>
      <c:pie3DChart>
        <c:varyColors val="1"/>
        <c:ser>
          <c:idx val="0"/>
          <c:order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'17年10月'!$A$300:$A$301</c:f>
              <c:strCache>
                <c:ptCount val="2"/>
                <c:pt idx="0">
                  <c:v>现金及债券类</c:v>
                </c:pt>
                <c:pt idx="1">
                  <c:v>融资类</c:v>
                </c:pt>
              </c:strCache>
            </c:strRef>
          </c:cat>
          <c:val>
            <c:numRef>
              <c:f>'17年10月'!$B$300:$B$301</c:f>
              <c:numCache>
                <c:formatCode>0.00%</c:formatCode>
                <c:ptCount val="2"/>
                <c:pt idx="0">
                  <c:v>0.11201821329615853</c:v>
                </c:pt>
                <c:pt idx="1">
                  <c:v>0.88798178670150041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b"/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4094706911637257E-2"/>
          <c:y val="0.10879629629629774"/>
          <c:w val="0.64954811898512765"/>
          <c:h val="0.77314814814815513"/>
        </c:manualLayout>
      </c:layout>
      <c:pie3DChart>
        <c:varyColors val="1"/>
        <c:ser>
          <c:idx val="0"/>
          <c:order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'17年10月'!$A$310:$A$312</c:f>
              <c:strCache>
                <c:ptCount val="3"/>
                <c:pt idx="0">
                  <c:v>AAA</c:v>
                </c:pt>
                <c:pt idx="1">
                  <c:v>AA</c:v>
                </c:pt>
                <c:pt idx="2">
                  <c:v>AA-及以下</c:v>
                </c:pt>
              </c:strCache>
            </c:strRef>
          </c:cat>
          <c:val>
            <c:numRef>
              <c:f>'17年10月'!$B$310:$B$312</c:f>
              <c:numCache>
                <c:formatCode>0.00%</c:formatCode>
                <c:ptCount val="3"/>
                <c:pt idx="0">
                  <c:v>0.34128948901619194</c:v>
                </c:pt>
                <c:pt idx="1">
                  <c:v>0.27083249298392864</c:v>
                </c:pt>
                <c:pt idx="2">
                  <c:v>0.38787801799987953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9.4609785513474542E-2"/>
          <c:y val="0.81667609408791753"/>
          <c:w val="0.79301189563861163"/>
          <c:h val="8.652561524127074E-2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22111375421994633"/>
          <c:y val="4.6969997100919966E-2"/>
          <c:w val="0.61547466302337084"/>
          <c:h val="0.8029265232808506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'17年10月'!$B$316</c:f>
              <c:strCache>
                <c:ptCount val="1"/>
                <c:pt idx="0">
                  <c:v>10月各行业</c:v>
                </c:pt>
              </c:strCache>
            </c:strRef>
          </c:tx>
          <c:invertIfNegative val="0"/>
          <c:cat>
            <c:strRef>
              <c:f>'17年10月'!$A$317:$A$320</c:f>
              <c:strCache>
                <c:ptCount val="4"/>
                <c:pt idx="0">
                  <c:v>建筑业</c:v>
                </c:pt>
                <c:pt idx="1">
                  <c:v>批发和零售业</c:v>
                </c:pt>
                <c:pt idx="2">
                  <c:v>综合</c:v>
                </c:pt>
                <c:pt idx="3">
                  <c:v>租赁和商务服务业</c:v>
                </c:pt>
              </c:strCache>
            </c:strRef>
          </c:cat>
          <c:val>
            <c:numRef>
              <c:f>'17年10月'!$B$317:$B$320</c:f>
              <c:numCache>
                <c:formatCode>0.00%</c:formatCode>
                <c:ptCount val="4"/>
                <c:pt idx="0">
                  <c:v>0.34128948901619194</c:v>
                </c:pt>
                <c:pt idx="1">
                  <c:v>0.1553372398224937</c:v>
                </c:pt>
                <c:pt idx="2">
                  <c:v>0.15502718545159053</c:v>
                </c:pt>
                <c:pt idx="3">
                  <c:v>0.34834608570972392</c:v>
                </c:pt>
              </c:numCache>
            </c:numRef>
          </c:val>
        </c:ser>
        <c:ser>
          <c:idx val="1"/>
          <c:order val="1"/>
          <c:tx>
            <c:strRef>
              <c:f>'17年10月'!$C$316</c:f>
              <c:strCache>
                <c:ptCount val="1"/>
                <c:pt idx="0">
                  <c:v>9月各行业</c:v>
                </c:pt>
              </c:strCache>
            </c:strRef>
          </c:tx>
          <c:invertIfNegative val="0"/>
          <c:cat>
            <c:strRef>
              <c:f>'17年10月'!$A$317:$A$320</c:f>
              <c:strCache>
                <c:ptCount val="4"/>
                <c:pt idx="0">
                  <c:v>建筑业</c:v>
                </c:pt>
                <c:pt idx="1">
                  <c:v>批发和零售业</c:v>
                </c:pt>
                <c:pt idx="2">
                  <c:v>综合</c:v>
                </c:pt>
                <c:pt idx="3">
                  <c:v>租赁和商务服务业</c:v>
                </c:pt>
              </c:strCache>
            </c:strRef>
          </c:cat>
          <c:val>
            <c:numRef>
              <c:f>'17年10月'!$C$317:$C$320</c:f>
              <c:numCache>
                <c:formatCode>0.00%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'17年10月'!$D$316</c:f>
              <c:strCache>
                <c:ptCount val="1"/>
                <c:pt idx="0">
                  <c:v>行业变化</c:v>
                </c:pt>
              </c:strCache>
            </c:strRef>
          </c:tx>
          <c:invertIfNegative val="0"/>
          <c:cat>
            <c:strRef>
              <c:f>'17年10月'!$A$317:$A$320</c:f>
              <c:strCache>
                <c:ptCount val="4"/>
                <c:pt idx="0">
                  <c:v>建筑业</c:v>
                </c:pt>
                <c:pt idx="1">
                  <c:v>批发和零售业</c:v>
                </c:pt>
                <c:pt idx="2">
                  <c:v>综合</c:v>
                </c:pt>
                <c:pt idx="3">
                  <c:v>租赁和商务服务业</c:v>
                </c:pt>
              </c:strCache>
            </c:strRef>
          </c:cat>
          <c:val>
            <c:numRef>
              <c:f>'17年10月'!$D$317:$D$320</c:f>
              <c:numCache>
                <c:formatCode>0.00%</c:formatCode>
                <c:ptCount val="4"/>
                <c:pt idx="0">
                  <c:v>0.34128948901619194</c:v>
                </c:pt>
                <c:pt idx="1">
                  <c:v>0.1553372398224937</c:v>
                </c:pt>
                <c:pt idx="2">
                  <c:v>-0.84497281454840945</c:v>
                </c:pt>
                <c:pt idx="3">
                  <c:v>0.34834608570972392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06538112"/>
        <c:axId val="406539648"/>
      </c:barChart>
      <c:catAx>
        <c:axId val="406538112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zh-CN"/>
          </a:p>
        </c:txPr>
        <c:crossAx val="406539648"/>
        <c:crossesAt val="0"/>
        <c:auto val="1"/>
        <c:lblAlgn val="ctr"/>
        <c:lblOffset val="100"/>
        <c:noMultiLvlLbl val="0"/>
      </c:catAx>
      <c:valAx>
        <c:axId val="406539648"/>
        <c:scaling>
          <c:orientation val="minMax"/>
        </c:scaling>
        <c:delete val="0"/>
        <c:axPos val="b"/>
        <c:majorGridlines/>
        <c:numFmt formatCode="0.00%" sourceLinked="1"/>
        <c:majorTickMark val="out"/>
        <c:minorTickMark val="none"/>
        <c:tickLblPos val="nextTo"/>
        <c:crossAx val="4065381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945743785467565"/>
          <c:y val="0.32455716361102804"/>
          <c:w val="0.12642702725808824"/>
          <c:h val="0.42761330223724153"/>
        </c:manualLayout>
      </c:layout>
      <c:overlay val="0"/>
      <c:txPr>
        <a:bodyPr/>
        <a:lstStyle/>
        <a:p>
          <a:pPr>
            <a:defRPr sz="700"/>
          </a:pPr>
          <a:endParaRPr lang="zh-CN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2017-11-07T07:49:00Z</dcterms:created>
  <dcterms:modified xsi:type="dcterms:W3CDTF">2017-11-07T07:49:00Z</dcterms:modified>
</cp:coreProperties>
</file>