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AE" w:rsidRPr="00DE2106" w:rsidRDefault="005E38AE" w:rsidP="005E38AE">
      <w:pPr>
        <w:ind w:left="360"/>
        <w:jc w:val="center"/>
        <w:rPr>
          <w:rFonts w:ascii="彩虹粗仿宋" w:eastAsia="彩虹粗仿宋"/>
          <w:b/>
          <w:color w:val="000000"/>
          <w:sz w:val="32"/>
          <w:szCs w:val="32"/>
        </w:rPr>
      </w:pPr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中国建设银行“乾元—</w:t>
      </w:r>
      <w:proofErr w:type="gramStart"/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鑫</w:t>
      </w:r>
      <w:proofErr w:type="gramEnd"/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满溢足”开放式净值型理财管理计划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月度投资管理报告</w:t>
      </w:r>
    </w:p>
    <w:p w:rsidR="005E38AE" w:rsidRPr="00DE2106" w:rsidRDefault="005E38AE" w:rsidP="005E38AE">
      <w:pPr>
        <w:spacing w:line="480" w:lineRule="exact"/>
        <w:ind w:firstLineChars="200" w:firstLine="420"/>
        <w:jc w:val="center"/>
        <w:rPr>
          <w:rFonts w:ascii="彩虹粗仿宋" w:eastAsia="彩虹粗仿宋" w:hAnsi="宋体"/>
          <w:color w:val="000000"/>
          <w:szCs w:val="21"/>
        </w:rPr>
      </w:pPr>
      <w:r w:rsidRPr="00DE2106">
        <w:rPr>
          <w:rFonts w:ascii="彩虹粗仿宋" w:eastAsia="彩虹粗仿宋" w:hAnsi="宋体" w:hint="eastAsia"/>
          <w:color w:val="000000"/>
          <w:szCs w:val="21"/>
        </w:rPr>
        <w:t>报告日：201</w:t>
      </w:r>
      <w:r>
        <w:rPr>
          <w:rFonts w:ascii="彩虹粗仿宋" w:eastAsia="彩虹粗仿宋" w:hAnsi="宋体" w:hint="eastAsia"/>
          <w:color w:val="000000"/>
          <w:szCs w:val="21"/>
        </w:rPr>
        <w:t>7年11</w:t>
      </w:r>
      <w:r w:rsidRPr="00DE2106">
        <w:rPr>
          <w:rFonts w:ascii="彩虹粗仿宋" w:eastAsia="彩虹粗仿宋" w:hAnsi="宋体" w:hint="eastAsia"/>
          <w:color w:val="000000"/>
          <w:szCs w:val="21"/>
        </w:rPr>
        <w:t>月</w:t>
      </w:r>
      <w:r>
        <w:rPr>
          <w:rFonts w:ascii="彩虹粗仿宋" w:eastAsia="彩虹粗仿宋" w:hAnsi="宋体" w:hint="eastAsia"/>
          <w:color w:val="000000"/>
          <w:szCs w:val="21"/>
        </w:rPr>
        <w:t>30</w:t>
      </w:r>
      <w:r w:rsidRPr="00DE2106">
        <w:rPr>
          <w:rFonts w:ascii="彩虹粗仿宋" w:eastAsia="彩虹粗仿宋" w:hAnsi="宋体" w:hint="eastAsia"/>
          <w:color w:val="000000"/>
          <w:szCs w:val="21"/>
        </w:rPr>
        <w:t>日</w:t>
      </w:r>
    </w:p>
    <w:p w:rsidR="005E38AE" w:rsidRPr="00DE2106" w:rsidRDefault="005E38AE" w:rsidP="005E38AE">
      <w:pPr>
        <w:ind w:firstLineChars="200" w:firstLine="560"/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</w:pPr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“乾元-</w:t>
      </w:r>
      <w:proofErr w:type="gramStart"/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鑫</w:t>
      </w:r>
      <w:proofErr w:type="gramEnd"/>
      <w:r w:rsidRPr="00F8772D">
        <w:rPr>
          <w:rFonts w:ascii="彩虹粗仿宋" w:eastAsia="彩虹粗仿宋" w:hAnsi="宋体" w:hint="eastAsia"/>
          <w:color w:val="000000"/>
          <w:sz w:val="28"/>
          <w:szCs w:val="28"/>
        </w:rPr>
        <w:t>满溢足”净值型人民币理财产品于2014年6月11日正式成立，投资运作正常。截至报告日，目前本产品总资产规模为</w:t>
      </w:r>
      <w:r w:rsidRPr="00940C1B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323</w:t>
      </w:r>
      <w:r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,</w:t>
      </w:r>
      <w:r w:rsidRPr="00940C1B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303</w:t>
      </w:r>
      <w:r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,</w:t>
      </w:r>
      <w:r w:rsidRPr="00940C1B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006.13</w:t>
      </w:r>
      <w:r w:rsidRPr="0042219D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份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5E38AE" w:rsidRPr="00DE2106" w:rsidRDefault="005E38AE" w:rsidP="005E38AE">
      <w:pPr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5E38AE" w:rsidRPr="00DE2106" w:rsidRDefault="005E38AE" w:rsidP="005E38AE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截至2017年11月30日，产品单位净值为</w:t>
      </w:r>
      <w:r w:rsidRPr="00940C1B">
        <w:rPr>
          <w:rFonts w:ascii="彩虹粗仿宋" w:eastAsia="彩虹粗仿宋" w:hAnsi="宋体"/>
          <w:color w:val="000000"/>
          <w:sz w:val="28"/>
          <w:szCs w:val="28"/>
        </w:rPr>
        <w:t>1.109821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5E38AE" w:rsidRPr="00DE2106" w:rsidRDefault="005E38AE" w:rsidP="005E38AE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5E38AE" w:rsidRPr="00DE2106" w:rsidRDefault="005E38AE" w:rsidP="005E38AE">
      <w:pPr>
        <w:spacing w:line="480" w:lineRule="exact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5E38AE" w:rsidRPr="00DE2106" w:rsidRDefault="005E38AE" w:rsidP="005E38AE">
      <w:pPr>
        <w:spacing w:line="480" w:lineRule="exact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（一）投资组合的基本情况</w:t>
      </w:r>
    </w:p>
    <w:p w:rsidR="005E38AE" w:rsidRPr="0000530E" w:rsidRDefault="005E38AE" w:rsidP="005E38AE">
      <w:pPr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截至2017年11月30日，本产品的资金实际全部投资于现金、债券、存单（含存款）和</w:t>
      </w:r>
      <w:proofErr w:type="gramStart"/>
      <w:r>
        <w:rPr>
          <w:rFonts w:ascii="彩虹粗仿宋" w:eastAsia="彩虹粗仿宋" w:hAnsi="宋体" w:hint="eastAsia"/>
          <w:color w:val="000000"/>
          <w:sz w:val="28"/>
          <w:szCs w:val="28"/>
        </w:rPr>
        <w:t>逆回购</w:t>
      </w:r>
      <w:proofErr w:type="gramEnd"/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5E38AE" w:rsidRPr="00DE2106" w:rsidRDefault="005E38AE" w:rsidP="005E38AE">
      <w:pPr>
        <w:spacing w:line="480" w:lineRule="exact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（二）现金及债券类资产的期限结构</w:t>
      </w:r>
    </w:p>
    <w:p w:rsidR="005E38AE" w:rsidRPr="009D2FE7" w:rsidRDefault="005E38AE" w:rsidP="005E38AE">
      <w:pPr>
        <w:jc w:val="center"/>
        <w:rPr>
          <w:rFonts w:ascii="彩虹粗仿宋" w:eastAsia="彩虹粗仿宋"/>
        </w:rPr>
      </w:pPr>
      <w:r>
        <w:rPr>
          <w:noProof/>
        </w:rPr>
        <w:drawing>
          <wp:inline distT="0" distB="0" distL="0" distR="0">
            <wp:extent cx="4699221" cy="2274073"/>
            <wp:effectExtent l="0" t="0" r="25400" b="12065"/>
            <wp:docPr id="3" name="图表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E38AE" w:rsidRPr="00DE2106" w:rsidRDefault="005E38AE" w:rsidP="005E38AE">
      <w:pPr>
        <w:jc w:val="center"/>
        <w:rPr>
          <w:rFonts w:ascii="彩虹粗仿宋" w:eastAsia="彩虹粗仿宋"/>
        </w:rPr>
      </w:pPr>
    </w:p>
    <w:p w:rsidR="005E38AE" w:rsidRPr="00DE2106" w:rsidRDefault="005E38AE" w:rsidP="005E38AE">
      <w:pPr>
        <w:ind w:firstLineChars="100" w:firstLine="281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（三）债券类资产的评级构成</w:t>
      </w:r>
    </w:p>
    <w:p w:rsidR="005E38AE" w:rsidRPr="00A6754D" w:rsidRDefault="005E38AE" w:rsidP="005E38AE">
      <w:pPr>
        <w:jc w:val="center"/>
        <w:rPr>
          <w:rFonts w:ascii="彩虹粗仿宋" w:eastAsia="彩虹粗仿宋" w:hAnsi="宋体"/>
          <w:b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239895" cy="2361565"/>
            <wp:effectExtent l="0" t="0" r="27305" b="19685"/>
            <wp:docPr id="5" name="图表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E38AE" w:rsidRPr="00DE2106" w:rsidRDefault="005E38AE" w:rsidP="005E38AE">
      <w:pPr>
        <w:jc w:val="center"/>
        <w:rPr>
          <w:rFonts w:ascii="彩虹粗仿宋" w:eastAsia="彩虹粗仿宋" w:hAnsi="宋体"/>
          <w:color w:val="000000"/>
          <w:sz w:val="28"/>
          <w:szCs w:val="28"/>
        </w:rPr>
      </w:pPr>
    </w:p>
    <w:p w:rsidR="005E38AE" w:rsidRPr="00DE2106" w:rsidRDefault="005E38AE" w:rsidP="005E38AE">
      <w:pPr>
        <w:spacing w:line="480" w:lineRule="exac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5E38AE" w:rsidRPr="00DE2106" w:rsidRDefault="005E38AE" w:rsidP="005E38AE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5E38AE" w:rsidRPr="00DE2106" w:rsidRDefault="005E38AE" w:rsidP="005E38AE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5E38AE" w:rsidRPr="00DE2106" w:rsidRDefault="005E38AE" w:rsidP="005E38AE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5E38AE" w:rsidRPr="00DE2106" w:rsidRDefault="005E38AE" w:rsidP="005E38AE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5E38AE" w:rsidRPr="00DE2106" w:rsidRDefault="005E38AE" w:rsidP="005E38AE">
      <w:pPr>
        <w:spacing w:line="480" w:lineRule="exact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7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11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30</w:t>
      </w:r>
      <w:bookmarkStart w:id="0" w:name="_GoBack"/>
      <w:bookmarkEnd w:id="0"/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5D7675" w:rsidRDefault="005D7675"/>
    <w:sectPr w:rsidR="005D7675" w:rsidSect="005D7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38AE"/>
    <w:rsid w:val="005D7675"/>
    <w:rsid w:val="005E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38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38A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25237;&#36164;\&#20538;&#21048;\63&#20859;&#39056;&#22235;&#26041;\&#21488;&#36134;\&#20538;&#26435;&#25345;&#20179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25237;&#36164;\&#20538;&#21048;\63&#20859;&#39056;&#22235;&#26041;\&#21488;&#36134;\&#20538;&#26435;&#25345;&#20179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view3D>
      <c:perspective val="0"/>
    </c:view3D>
    <c:plotArea>
      <c:layout>
        <c:manualLayout>
          <c:layoutTarget val="inner"/>
          <c:xMode val="edge"/>
          <c:yMode val="edge"/>
          <c:x val="6.914310916053526E-2"/>
          <c:y val="0.29457259019093457"/>
          <c:w val="0.58343638397658693"/>
          <c:h val="0.38149341172349782"/>
        </c:manualLayout>
      </c:layout>
      <c:pie3DChart>
        <c:varyColors val="1"/>
        <c:ser>
          <c:idx val="1"/>
          <c:order val="0"/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zh-CN"/>
              </a:p>
            </c:txPr>
            <c:showPercent val="1"/>
            <c:showLeaderLines val="1"/>
          </c:dLbls>
          <c:cat>
            <c:strRef>
              <c:f>分布!$B$4:$B$8</c:f>
              <c:strCache>
                <c:ptCount val="5"/>
                <c:pt idx="0">
                  <c:v>半年以内</c:v>
                </c:pt>
                <c:pt idx="1">
                  <c:v>半年至1年</c:v>
                </c:pt>
                <c:pt idx="2">
                  <c:v>1年至3年</c:v>
                </c:pt>
                <c:pt idx="3">
                  <c:v>3年至5年</c:v>
                </c:pt>
                <c:pt idx="4">
                  <c:v>5年以上</c:v>
                </c:pt>
              </c:strCache>
            </c:strRef>
          </c:cat>
          <c:val>
            <c:numRef>
              <c:f>分布!$D$4:$D$8</c:f>
              <c:numCache>
                <c:formatCode>0.0%</c:formatCode>
                <c:ptCount val="5"/>
                <c:pt idx="0">
                  <c:v>0.30944347643645226</c:v>
                </c:pt>
                <c:pt idx="1">
                  <c:v>0.28187341521658438</c:v>
                </c:pt>
                <c:pt idx="2">
                  <c:v>0.20796941714205103</c:v>
                </c:pt>
                <c:pt idx="3">
                  <c:v>0.12043928823490146</c:v>
                </c:pt>
                <c:pt idx="4">
                  <c:v>8.0274402970011302E-2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1627447183856163"/>
          <c:y val="0.22687512122918266"/>
          <c:w val="0.25693078426048682"/>
          <c:h val="0.562712795803749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zh-CN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view3D>
      <c:perspective val="0"/>
    </c:view3D>
    <c:plotArea>
      <c:layout>
        <c:manualLayout>
          <c:layoutTarget val="inner"/>
          <c:xMode val="edge"/>
          <c:yMode val="edge"/>
          <c:x val="6.914310916053526E-2"/>
          <c:y val="0.29457259019093457"/>
          <c:w val="0.58343638397658693"/>
          <c:h val="0.38149341172349782"/>
        </c:manualLayout>
      </c:layout>
      <c:pie3DChart>
        <c:varyColors val="1"/>
        <c:ser>
          <c:idx val="1"/>
          <c:order val="0"/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zh-CN"/>
              </a:p>
            </c:txPr>
            <c:showPercent val="1"/>
            <c:showLeaderLines val="1"/>
          </c:dLbls>
          <c:cat>
            <c:strRef>
              <c:f>分布!$B$24:$B$26</c:f>
              <c:strCache>
                <c:ptCount val="3"/>
                <c:pt idx="0">
                  <c:v>AAA</c:v>
                </c:pt>
                <c:pt idx="1">
                  <c:v>AA+</c:v>
                </c:pt>
                <c:pt idx="2">
                  <c:v>AA</c:v>
                </c:pt>
              </c:strCache>
            </c:strRef>
          </c:cat>
          <c:val>
            <c:numRef>
              <c:f>分布!$D$24:$D$26</c:f>
              <c:numCache>
                <c:formatCode>0.0%</c:formatCode>
                <c:ptCount val="3"/>
                <c:pt idx="0">
                  <c:v>0.4202729495915643</c:v>
                </c:pt>
                <c:pt idx="1">
                  <c:v>0.53939531057885604</c:v>
                </c:pt>
                <c:pt idx="2">
                  <c:v>4.0331739829580424E-2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7922402235691812"/>
          <c:y val="0.19464321593161038"/>
          <c:w val="0.14601956230291369"/>
          <c:h val="0.562712795803749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zh-CN"/>
    </a:p>
  </c:txPr>
  <c:externalData r:id="rId2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ccb</dc:creator>
  <cp:lastModifiedBy>ccb</cp:lastModifiedBy>
  <cp:revision>1</cp:revision>
  <dcterms:created xsi:type="dcterms:W3CDTF">2017-12-06T00:51:00Z</dcterms:created>
  <dcterms:modified xsi:type="dcterms:W3CDTF">2017-12-06T00:51:00Z</dcterms:modified>
</cp:coreProperties>
</file>