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806" w:rsidRDefault="00E9563A" w:rsidP="00555806">
      <w:pPr>
        <w:jc w:val="center"/>
        <w:rPr>
          <w:b/>
          <w:color w:val="000000"/>
          <w:sz w:val="32"/>
          <w:szCs w:val="32"/>
        </w:rPr>
      </w:pPr>
      <w:r w:rsidRPr="009378DF">
        <w:rPr>
          <w:rFonts w:hint="eastAsia"/>
          <w:b/>
          <w:color w:val="000000"/>
          <w:sz w:val="32"/>
          <w:szCs w:val="32"/>
        </w:rPr>
        <w:t xml:space="preserve"> </w:t>
      </w:r>
      <w:r w:rsidR="00555806" w:rsidRPr="009378DF">
        <w:rPr>
          <w:rFonts w:hint="eastAsia"/>
          <w:b/>
          <w:color w:val="000000"/>
          <w:sz w:val="32"/>
          <w:szCs w:val="32"/>
        </w:rPr>
        <w:t>“乾元—满溢”</w:t>
      </w:r>
      <w:r w:rsidR="00555806" w:rsidRPr="009378DF">
        <w:rPr>
          <w:rFonts w:hint="eastAsia"/>
          <w:b/>
          <w:color w:val="000000"/>
          <w:sz w:val="32"/>
          <w:szCs w:val="32"/>
        </w:rPr>
        <w:t>3</w:t>
      </w:r>
      <w:r w:rsidR="00555806">
        <w:rPr>
          <w:rFonts w:hint="eastAsia"/>
          <w:b/>
          <w:color w:val="000000"/>
          <w:sz w:val="32"/>
          <w:szCs w:val="32"/>
        </w:rPr>
        <w:t>6</w:t>
      </w:r>
      <w:r w:rsidR="00555806" w:rsidRPr="009378DF">
        <w:rPr>
          <w:rFonts w:hint="eastAsia"/>
          <w:b/>
          <w:color w:val="000000"/>
          <w:sz w:val="32"/>
          <w:szCs w:val="32"/>
        </w:rPr>
        <w:t>0</w:t>
      </w:r>
      <w:r w:rsidR="00555806" w:rsidRPr="009378DF">
        <w:rPr>
          <w:rFonts w:hint="eastAsia"/>
          <w:b/>
          <w:color w:val="000000"/>
          <w:sz w:val="32"/>
          <w:szCs w:val="32"/>
        </w:rPr>
        <w:t>天开放式资产组合型人民币理财产品</w:t>
      </w:r>
    </w:p>
    <w:p w:rsidR="00555806" w:rsidRPr="00EE774A" w:rsidRDefault="00555806" w:rsidP="00555806">
      <w:pPr>
        <w:jc w:val="center"/>
        <w:rPr>
          <w:b/>
          <w:color w:val="000000"/>
          <w:sz w:val="32"/>
          <w:szCs w:val="32"/>
        </w:rPr>
      </w:pPr>
      <w:r w:rsidRPr="009378DF">
        <w:rPr>
          <w:rFonts w:hint="eastAsia"/>
          <w:b/>
          <w:color w:val="000000"/>
          <w:sz w:val="32"/>
          <w:szCs w:val="32"/>
        </w:rPr>
        <w:t>（机构版）</w:t>
      </w:r>
      <w:r w:rsidRPr="00EE774A">
        <w:rPr>
          <w:rFonts w:hint="eastAsia"/>
          <w:b/>
          <w:color w:val="000000"/>
          <w:sz w:val="32"/>
          <w:szCs w:val="32"/>
        </w:rPr>
        <w:t>月度投资管理报告</w:t>
      </w:r>
    </w:p>
    <w:p w:rsidR="00555806" w:rsidRPr="00EE774A" w:rsidRDefault="00555806" w:rsidP="00555806">
      <w:pPr>
        <w:spacing w:line="480" w:lineRule="exact"/>
        <w:ind w:firstLineChars="200" w:firstLine="420"/>
        <w:jc w:val="center"/>
        <w:rPr>
          <w:rFonts w:ascii="宋体" w:hAnsi="宋体"/>
          <w:color w:val="000000"/>
          <w:szCs w:val="21"/>
        </w:rPr>
      </w:pPr>
      <w:r w:rsidRPr="00EE774A">
        <w:rPr>
          <w:rFonts w:ascii="宋体" w:hAnsi="宋体" w:hint="eastAsia"/>
          <w:color w:val="000000"/>
          <w:szCs w:val="21"/>
        </w:rPr>
        <w:t>报告日：201</w:t>
      </w:r>
      <w:r>
        <w:rPr>
          <w:rFonts w:ascii="宋体" w:hAnsi="宋体" w:hint="eastAsia"/>
          <w:color w:val="000000"/>
          <w:szCs w:val="21"/>
        </w:rPr>
        <w:t>7</w:t>
      </w:r>
      <w:r w:rsidRPr="00EE774A">
        <w:rPr>
          <w:rFonts w:ascii="宋体" w:hAnsi="宋体" w:hint="eastAsia"/>
          <w:color w:val="000000"/>
          <w:szCs w:val="21"/>
        </w:rPr>
        <w:t>年</w:t>
      </w:r>
      <w:r>
        <w:rPr>
          <w:rFonts w:ascii="宋体" w:hAnsi="宋体" w:hint="eastAsia"/>
          <w:color w:val="000000"/>
          <w:szCs w:val="21"/>
        </w:rPr>
        <w:t>1</w:t>
      </w:r>
      <w:r w:rsidR="00F50F30">
        <w:rPr>
          <w:rFonts w:ascii="宋体" w:hAnsi="宋体" w:hint="eastAsia"/>
          <w:color w:val="000000"/>
          <w:szCs w:val="21"/>
        </w:rPr>
        <w:t>1</w:t>
      </w:r>
      <w:r>
        <w:rPr>
          <w:rFonts w:ascii="宋体" w:hAnsi="宋体" w:hint="eastAsia"/>
          <w:color w:val="000000"/>
          <w:szCs w:val="21"/>
        </w:rPr>
        <w:t>月</w:t>
      </w:r>
      <w:r w:rsidR="00F50F30">
        <w:rPr>
          <w:rFonts w:ascii="宋体" w:hAnsi="宋体" w:hint="eastAsia"/>
          <w:color w:val="000000"/>
          <w:szCs w:val="21"/>
        </w:rPr>
        <w:t>30</w:t>
      </w:r>
      <w:r>
        <w:rPr>
          <w:rFonts w:ascii="宋体" w:hAnsi="宋体" w:hint="eastAsia"/>
          <w:color w:val="000000"/>
          <w:szCs w:val="21"/>
        </w:rPr>
        <w:t xml:space="preserve">日    </w:t>
      </w:r>
    </w:p>
    <w:p w:rsidR="00555806" w:rsidRPr="000A55B8" w:rsidRDefault="00555806" w:rsidP="00585789">
      <w:pPr>
        <w:ind w:firstLine="420"/>
        <w:rPr>
          <w:rFonts w:ascii="宋体" w:hAnsi="宋体"/>
          <w:color w:val="000000"/>
          <w:sz w:val="28"/>
          <w:szCs w:val="28"/>
        </w:rPr>
      </w:pPr>
      <w:r w:rsidRPr="000A55B8">
        <w:rPr>
          <w:rFonts w:ascii="宋体" w:hAnsi="宋体" w:hint="eastAsia"/>
          <w:color w:val="000000"/>
          <w:sz w:val="28"/>
          <w:szCs w:val="28"/>
        </w:rPr>
        <w:t>“乾元—满溢”3</w:t>
      </w:r>
      <w:r>
        <w:rPr>
          <w:rFonts w:ascii="宋体" w:hAnsi="宋体" w:hint="eastAsia"/>
          <w:color w:val="000000"/>
          <w:sz w:val="28"/>
          <w:szCs w:val="28"/>
        </w:rPr>
        <w:t>6</w:t>
      </w:r>
      <w:r w:rsidRPr="000A55B8">
        <w:rPr>
          <w:rFonts w:ascii="宋体" w:hAnsi="宋体" w:hint="eastAsia"/>
          <w:color w:val="000000"/>
          <w:sz w:val="28"/>
          <w:szCs w:val="28"/>
        </w:rPr>
        <w:t>0天开放式资产组合型人民币理财产品（机构版）</w:t>
      </w:r>
      <w:r w:rsidRPr="00EE774A">
        <w:rPr>
          <w:rFonts w:ascii="宋体" w:hAnsi="宋体" w:hint="eastAsia"/>
          <w:color w:val="000000"/>
          <w:sz w:val="28"/>
          <w:szCs w:val="28"/>
        </w:rPr>
        <w:t>于201</w:t>
      </w:r>
      <w:r>
        <w:rPr>
          <w:rFonts w:ascii="宋体" w:hAnsi="宋体" w:hint="eastAsia"/>
          <w:color w:val="000000"/>
          <w:sz w:val="28"/>
          <w:szCs w:val="28"/>
        </w:rPr>
        <w:t>7</w:t>
      </w:r>
      <w:r w:rsidRPr="00EE774A">
        <w:rPr>
          <w:rFonts w:ascii="宋体" w:hAnsi="宋体" w:hint="eastAsia"/>
          <w:color w:val="000000"/>
          <w:sz w:val="28"/>
          <w:szCs w:val="28"/>
        </w:rPr>
        <w:t>年</w:t>
      </w:r>
      <w:r>
        <w:rPr>
          <w:rFonts w:ascii="宋体" w:hAnsi="宋体" w:hint="eastAsia"/>
          <w:color w:val="000000"/>
          <w:sz w:val="28"/>
          <w:szCs w:val="28"/>
        </w:rPr>
        <w:t>9</w:t>
      </w:r>
      <w:r w:rsidRPr="00EE774A">
        <w:rPr>
          <w:rFonts w:ascii="宋体" w:hAnsi="宋体" w:hint="eastAsia"/>
          <w:color w:val="000000"/>
          <w:sz w:val="28"/>
          <w:szCs w:val="28"/>
        </w:rPr>
        <w:t>月</w:t>
      </w:r>
      <w:r>
        <w:rPr>
          <w:rFonts w:ascii="宋体" w:hAnsi="宋体" w:hint="eastAsia"/>
          <w:color w:val="000000"/>
          <w:sz w:val="28"/>
          <w:szCs w:val="28"/>
        </w:rPr>
        <w:t>15</w:t>
      </w:r>
      <w:r w:rsidRPr="00EE774A">
        <w:rPr>
          <w:rFonts w:ascii="宋体" w:hAnsi="宋体" w:hint="eastAsia"/>
          <w:color w:val="000000"/>
          <w:sz w:val="28"/>
          <w:szCs w:val="28"/>
        </w:rPr>
        <w:t>日正式成立。截至报告日，本产品规模为</w:t>
      </w:r>
      <w:r w:rsidRPr="00EE774A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 xml:space="preserve">               </w:t>
      </w:r>
      <w:r w:rsidRPr="00000D4B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 xml:space="preserve">   </w:t>
      </w:r>
      <w:r w:rsidRPr="0005385D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 xml:space="preserve">    </w:t>
      </w:r>
      <w:r w:rsidRPr="005D1270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 xml:space="preserve">    </w:t>
      </w:r>
      <w:r w:rsidRPr="00AC15F3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 xml:space="preserve">   </w:t>
      </w:r>
      <w:r w:rsidRPr="00CF768F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 xml:space="preserve">    </w:t>
      </w:r>
      <w:r w:rsidRPr="0035334D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 xml:space="preserve">    </w:t>
      </w:r>
      <w:r w:rsidRPr="00162740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 xml:space="preserve">    </w:t>
      </w:r>
      <w:r w:rsidR="00585789" w:rsidRPr="00585789">
        <w:rPr>
          <w:rFonts w:ascii="宋体" w:hAnsi="宋体" w:hint="eastAsia"/>
          <w:color w:val="000000"/>
          <w:sz w:val="28"/>
          <w:szCs w:val="28"/>
        </w:rPr>
        <w:t>142,190,000.00</w:t>
      </w:r>
      <w:r w:rsidRPr="00585789">
        <w:rPr>
          <w:rFonts w:ascii="宋体" w:hAnsi="宋体" w:hint="eastAsia"/>
          <w:color w:val="000000"/>
          <w:sz w:val="28"/>
          <w:szCs w:val="28"/>
        </w:rPr>
        <w:t xml:space="preserve">元。  </w:t>
      </w:r>
    </w:p>
    <w:p w:rsidR="00555806" w:rsidRPr="00EE774A" w:rsidRDefault="00555806" w:rsidP="00555806">
      <w:pPr>
        <w:ind w:firstLineChars="200" w:firstLine="562"/>
        <w:outlineLvl w:val="0"/>
        <w:rPr>
          <w:rFonts w:ascii="宋体" w:hAnsi="宋体"/>
          <w:b/>
          <w:color w:val="000000"/>
          <w:sz w:val="28"/>
          <w:szCs w:val="28"/>
        </w:rPr>
      </w:pPr>
      <w:r w:rsidRPr="00EE774A">
        <w:rPr>
          <w:rFonts w:ascii="宋体" w:hAnsi="宋体" w:hint="eastAsia"/>
          <w:b/>
          <w:color w:val="000000"/>
          <w:sz w:val="28"/>
          <w:szCs w:val="28"/>
        </w:rPr>
        <w:t>一、报告期投资者实际收益率</w:t>
      </w:r>
    </w:p>
    <w:p w:rsidR="00555806" w:rsidRPr="00EE774A" w:rsidRDefault="00555806" w:rsidP="00555806">
      <w:pPr>
        <w:ind w:firstLineChars="200" w:firstLine="560"/>
        <w:jc w:val="left"/>
        <w:rPr>
          <w:rFonts w:ascii="宋体" w:hAnsi="宋体"/>
          <w:color w:val="000000"/>
          <w:sz w:val="28"/>
          <w:szCs w:val="28"/>
        </w:rPr>
      </w:pPr>
      <w:r w:rsidRPr="00EE774A">
        <w:rPr>
          <w:rFonts w:ascii="宋体" w:hAnsi="宋体" w:hint="eastAsia"/>
          <w:color w:val="000000"/>
          <w:sz w:val="28"/>
          <w:szCs w:val="28"/>
        </w:rPr>
        <w:t>根据产品说明书的约定，201</w:t>
      </w:r>
      <w:r>
        <w:rPr>
          <w:rFonts w:ascii="宋体" w:hAnsi="宋体" w:hint="eastAsia"/>
          <w:color w:val="000000"/>
          <w:sz w:val="28"/>
          <w:szCs w:val="28"/>
        </w:rPr>
        <w:t>7</w:t>
      </w:r>
      <w:r w:rsidRPr="00EE774A">
        <w:rPr>
          <w:rFonts w:ascii="宋体" w:hAnsi="宋体" w:hint="eastAsia"/>
          <w:color w:val="000000"/>
          <w:sz w:val="28"/>
          <w:szCs w:val="28"/>
        </w:rPr>
        <w:t>年</w:t>
      </w:r>
      <w:r w:rsidR="00F50F30">
        <w:rPr>
          <w:rFonts w:ascii="宋体" w:hAnsi="宋体" w:hint="eastAsia"/>
          <w:color w:val="000000"/>
          <w:sz w:val="28"/>
          <w:szCs w:val="28"/>
        </w:rPr>
        <w:t>11</w:t>
      </w:r>
      <w:r w:rsidRPr="00EE774A">
        <w:rPr>
          <w:rFonts w:ascii="宋体" w:hAnsi="宋体" w:hint="eastAsia"/>
          <w:color w:val="000000"/>
          <w:sz w:val="28"/>
          <w:szCs w:val="28"/>
        </w:rPr>
        <w:t>月</w:t>
      </w:r>
      <w:r>
        <w:rPr>
          <w:rFonts w:ascii="宋体" w:hAnsi="宋体" w:hint="eastAsia"/>
          <w:color w:val="000000"/>
          <w:sz w:val="28"/>
          <w:szCs w:val="28"/>
        </w:rPr>
        <w:t>1</w:t>
      </w:r>
      <w:r w:rsidRPr="00EE774A">
        <w:rPr>
          <w:rFonts w:ascii="宋体" w:hAnsi="宋体" w:hint="eastAsia"/>
          <w:color w:val="000000"/>
          <w:sz w:val="28"/>
          <w:szCs w:val="28"/>
        </w:rPr>
        <w:t>日至201</w:t>
      </w:r>
      <w:r>
        <w:rPr>
          <w:rFonts w:ascii="宋体" w:hAnsi="宋体" w:hint="eastAsia"/>
          <w:color w:val="000000"/>
          <w:sz w:val="28"/>
          <w:szCs w:val="28"/>
        </w:rPr>
        <w:t>7</w:t>
      </w:r>
      <w:r w:rsidRPr="00EE774A">
        <w:rPr>
          <w:rFonts w:ascii="宋体" w:hAnsi="宋体" w:hint="eastAsia"/>
          <w:color w:val="000000"/>
          <w:sz w:val="28"/>
          <w:szCs w:val="28"/>
        </w:rPr>
        <w:t>年</w:t>
      </w:r>
      <w:r>
        <w:rPr>
          <w:rFonts w:ascii="宋体" w:hAnsi="宋体" w:hint="eastAsia"/>
          <w:color w:val="000000"/>
          <w:sz w:val="28"/>
          <w:szCs w:val="28"/>
        </w:rPr>
        <w:t>1</w:t>
      </w:r>
      <w:r w:rsidR="00F50F30">
        <w:rPr>
          <w:rFonts w:ascii="宋体" w:hAnsi="宋体" w:hint="eastAsia"/>
          <w:color w:val="000000"/>
          <w:sz w:val="28"/>
          <w:szCs w:val="28"/>
        </w:rPr>
        <w:t>1</w:t>
      </w:r>
      <w:r w:rsidRPr="00EE774A">
        <w:rPr>
          <w:rFonts w:ascii="宋体" w:hAnsi="宋体" w:hint="eastAsia"/>
          <w:color w:val="000000"/>
          <w:sz w:val="28"/>
          <w:szCs w:val="28"/>
        </w:rPr>
        <w:t>月</w:t>
      </w:r>
      <w:r w:rsidR="00F50F30">
        <w:rPr>
          <w:rFonts w:ascii="宋体" w:hAnsi="宋体" w:hint="eastAsia"/>
          <w:color w:val="000000"/>
          <w:sz w:val="28"/>
          <w:szCs w:val="28"/>
        </w:rPr>
        <w:t>30</w:t>
      </w:r>
      <w:r w:rsidRPr="00EE774A">
        <w:rPr>
          <w:rFonts w:ascii="宋体" w:hAnsi="宋体" w:hint="eastAsia"/>
          <w:color w:val="000000"/>
          <w:sz w:val="28"/>
          <w:szCs w:val="28"/>
        </w:rPr>
        <w:t>日</w:t>
      </w:r>
      <w:r w:rsidRPr="009E0E2D">
        <w:rPr>
          <w:rFonts w:ascii="宋体" w:hAnsi="宋体" w:hint="eastAsia"/>
          <w:color w:val="000000"/>
          <w:sz w:val="28"/>
          <w:szCs w:val="28"/>
        </w:rPr>
        <w:t>投资者实际收益率</w:t>
      </w:r>
      <w:r>
        <w:rPr>
          <w:rFonts w:ascii="宋体" w:hAnsi="宋体" w:hint="eastAsia"/>
          <w:color w:val="000000"/>
          <w:sz w:val="28"/>
          <w:szCs w:val="28"/>
        </w:rPr>
        <w:t>为4.80%。</w:t>
      </w:r>
    </w:p>
    <w:p w:rsidR="00555806" w:rsidRPr="00EE774A" w:rsidRDefault="00555806" w:rsidP="00555806">
      <w:pPr>
        <w:ind w:firstLineChars="200" w:firstLine="560"/>
        <w:jc w:val="left"/>
        <w:rPr>
          <w:rFonts w:ascii="宋体" w:hAnsi="宋体"/>
          <w:color w:val="000000"/>
          <w:sz w:val="28"/>
          <w:szCs w:val="28"/>
        </w:rPr>
      </w:pPr>
      <w:r w:rsidRPr="009E0E2D">
        <w:rPr>
          <w:rFonts w:ascii="宋体" w:hAnsi="宋体" w:hint="eastAsia"/>
          <w:color w:val="000000"/>
          <w:sz w:val="28"/>
          <w:szCs w:val="28"/>
        </w:rPr>
        <w:t>相关</w:t>
      </w:r>
      <w:r w:rsidRPr="00EE774A">
        <w:rPr>
          <w:rFonts w:ascii="宋体" w:hAnsi="宋体" w:hint="eastAsia"/>
          <w:color w:val="000000"/>
          <w:sz w:val="28"/>
          <w:szCs w:val="28"/>
        </w:rPr>
        <w:t>收益及计算方法，请具体查阅对应的收益率调整公告及产品说明书。</w:t>
      </w:r>
    </w:p>
    <w:p w:rsidR="00555806" w:rsidRPr="00EE774A" w:rsidRDefault="00555806" w:rsidP="00555806">
      <w:pPr>
        <w:spacing w:line="480" w:lineRule="exact"/>
        <w:ind w:firstLineChars="200" w:firstLine="562"/>
        <w:outlineLvl w:val="0"/>
        <w:rPr>
          <w:rFonts w:ascii="宋体" w:hAnsi="宋体"/>
          <w:b/>
          <w:color w:val="000000"/>
          <w:sz w:val="28"/>
          <w:szCs w:val="28"/>
        </w:rPr>
      </w:pPr>
      <w:r w:rsidRPr="00EE774A">
        <w:rPr>
          <w:rFonts w:ascii="宋体" w:hAnsi="宋体" w:hint="eastAsia"/>
          <w:b/>
          <w:color w:val="000000"/>
          <w:sz w:val="28"/>
          <w:szCs w:val="28"/>
        </w:rPr>
        <w:t>二、产品投资组合详细情况</w:t>
      </w:r>
    </w:p>
    <w:p w:rsidR="00555806" w:rsidRPr="00EE774A" w:rsidRDefault="00555806" w:rsidP="00555806">
      <w:pPr>
        <w:spacing w:line="480" w:lineRule="exact"/>
        <w:ind w:firstLineChars="200" w:firstLine="562"/>
        <w:outlineLvl w:val="0"/>
        <w:rPr>
          <w:rFonts w:ascii="宋体" w:hAnsi="宋体"/>
          <w:b/>
          <w:color w:val="000000"/>
          <w:sz w:val="28"/>
          <w:szCs w:val="28"/>
        </w:rPr>
      </w:pPr>
      <w:r w:rsidRPr="00EE774A">
        <w:rPr>
          <w:rFonts w:ascii="宋体" w:hAnsi="宋体" w:hint="eastAsia"/>
          <w:b/>
          <w:color w:val="000000"/>
          <w:sz w:val="28"/>
          <w:szCs w:val="28"/>
        </w:rPr>
        <w:t>（一）投资组合的基本情况</w:t>
      </w:r>
    </w:p>
    <w:p w:rsidR="00555806" w:rsidRPr="00EE774A" w:rsidRDefault="00585789" w:rsidP="00555806">
      <w:pPr>
        <w:jc w:val="center"/>
        <w:rPr>
          <w:rFonts w:ascii="宋体" w:hAnsi="宋体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3876675" cy="1933575"/>
            <wp:effectExtent l="38100" t="0" r="9525" b="9525"/>
            <wp:docPr id="4" name="图表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555806" w:rsidRPr="00EE774A" w:rsidRDefault="00555806" w:rsidP="00555806">
      <w:pPr>
        <w:spacing w:line="480" w:lineRule="exact"/>
        <w:ind w:firstLineChars="146" w:firstLine="410"/>
        <w:outlineLvl w:val="0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 xml:space="preserve"> </w:t>
      </w:r>
      <w:r w:rsidRPr="00EE774A">
        <w:rPr>
          <w:rFonts w:ascii="宋体" w:hAnsi="宋体" w:hint="eastAsia"/>
          <w:b/>
          <w:color w:val="000000"/>
          <w:sz w:val="28"/>
          <w:szCs w:val="28"/>
        </w:rPr>
        <w:t>（二）融资类资产的行内评级构成</w:t>
      </w:r>
    </w:p>
    <w:p w:rsidR="00555806" w:rsidRPr="00EE774A" w:rsidRDefault="00585789" w:rsidP="00555806">
      <w:pPr>
        <w:jc w:val="center"/>
        <w:rPr>
          <w:rFonts w:ascii="宋体" w:hAnsi="宋体"/>
          <w:color w:val="000000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3914775" cy="2171700"/>
            <wp:effectExtent l="0" t="0" r="9525" b="19050"/>
            <wp:docPr id="5" name="图表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585789" w:rsidRPr="00EE774A" w:rsidRDefault="00585789" w:rsidP="00585789">
      <w:pPr>
        <w:spacing w:line="480" w:lineRule="exact"/>
        <w:ind w:firstLineChars="200" w:firstLine="562"/>
        <w:outlineLvl w:val="0"/>
        <w:rPr>
          <w:rFonts w:ascii="宋体" w:hAnsi="宋体"/>
          <w:b/>
          <w:color w:val="000000"/>
          <w:sz w:val="28"/>
          <w:szCs w:val="28"/>
        </w:rPr>
      </w:pPr>
      <w:r w:rsidRPr="00C75BE9">
        <w:rPr>
          <w:rFonts w:ascii="宋体" w:hAnsi="宋体" w:hint="eastAsia"/>
          <w:b/>
          <w:color w:val="000000"/>
          <w:sz w:val="28"/>
          <w:szCs w:val="28"/>
        </w:rPr>
        <w:t>（三</w:t>
      </w:r>
      <w:r w:rsidRPr="00C75BE9">
        <w:rPr>
          <w:rFonts w:ascii="宋体" w:hAnsi="宋体"/>
          <w:b/>
          <w:color w:val="000000"/>
          <w:sz w:val="28"/>
          <w:szCs w:val="28"/>
        </w:rPr>
        <w:t>）</w:t>
      </w:r>
      <w:r w:rsidRPr="007F5088">
        <w:rPr>
          <w:rFonts w:ascii="宋体" w:hAnsi="宋体" w:hint="eastAsia"/>
          <w:b/>
          <w:color w:val="000000"/>
          <w:sz w:val="28"/>
          <w:szCs w:val="28"/>
        </w:rPr>
        <w:t>融资类资产的行业占</w:t>
      </w:r>
      <w:proofErr w:type="gramStart"/>
      <w:r w:rsidRPr="007F5088">
        <w:rPr>
          <w:rFonts w:ascii="宋体" w:hAnsi="宋体" w:hint="eastAsia"/>
          <w:b/>
          <w:color w:val="000000"/>
          <w:sz w:val="28"/>
          <w:szCs w:val="28"/>
        </w:rPr>
        <w:t>比构成</w:t>
      </w:r>
      <w:proofErr w:type="gramEnd"/>
      <w:r w:rsidRPr="007F5088">
        <w:rPr>
          <w:rFonts w:ascii="宋体" w:hAnsi="宋体" w:hint="eastAsia"/>
          <w:b/>
          <w:color w:val="000000"/>
          <w:sz w:val="28"/>
          <w:szCs w:val="28"/>
        </w:rPr>
        <w:t>及当月增减变化情况</w:t>
      </w:r>
    </w:p>
    <w:p w:rsidR="00555806" w:rsidRPr="005622F6" w:rsidRDefault="00585789" w:rsidP="00555806">
      <w:pPr>
        <w:ind w:right="-58"/>
        <w:jc w:val="center"/>
        <w:rPr>
          <w:rFonts w:ascii="宋体" w:hAnsi="宋体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4572000" cy="2743200"/>
            <wp:effectExtent l="0" t="0" r="19050" b="19050"/>
            <wp:docPr id="1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555806" w:rsidRPr="00EE774A" w:rsidRDefault="00555806" w:rsidP="00555806">
      <w:pPr>
        <w:spacing w:line="480" w:lineRule="exact"/>
        <w:ind w:firstLineChars="200" w:firstLine="562"/>
        <w:outlineLvl w:val="0"/>
        <w:rPr>
          <w:rFonts w:ascii="宋体" w:hAnsi="宋体"/>
          <w:color w:val="000000"/>
          <w:sz w:val="28"/>
          <w:szCs w:val="28"/>
        </w:rPr>
      </w:pPr>
      <w:r w:rsidRPr="00986C29">
        <w:rPr>
          <w:rFonts w:ascii="宋体" w:hAnsi="宋体" w:hint="eastAsia"/>
          <w:b/>
          <w:color w:val="000000"/>
          <w:sz w:val="28"/>
          <w:szCs w:val="28"/>
        </w:rPr>
        <w:t>三、</w:t>
      </w:r>
      <w:r w:rsidRPr="00EE774A">
        <w:rPr>
          <w:rFonts w:ascii="宋体" w:hAnsi="宋体" w:hint="eastAsia"/>
          <w:b/>
          <w:color w:val="000000"/>
          <w:sz w:val="28"/>
          <w:szCs w:val="28"/>
        </w:rPr>
        <w:t>产品整体运作情况</w:t>
      </w:r>
    </w:p>
    <w:p w:rsidR="00555806" w:rsidRPr="00EE774A" w:rsidRDefault="00555806" w:rsidP="00555806">
      <w:pPr>
        <w:spacing w:line="480" w:lineRule="exact"/>
        <w:ind w:firstLineChars="150" w:firstLine="420"/>
        <w:rPr>
          <w:rFonts w:ascii="宋体" w:hAnsi="宋体"/>
          <w:color w:val="000000"/>
          <w:sz w:val="28"/>
          <w:szCs w:val="28"/>
        </w:rPr>
      </w:pPr>
      <w:r w:rsidRPr="00EE774A">
        <w:rPr>
          <w:rFonts w:ascii="宋体" w:hAnsi="宋体" w:hint="eastAsia"/>
          <w:color w:val="000000"/>
          <w:sz w:val="28"/>
          <w:szCs w:val="28"/>
        </w:rPr>
        <w:t>（1）自本产品成立起至本报告日，产品管理人恪尽职守、勤勉尽责、谨慎管理，忠实履行有关法律、行政法规和相关文件的规定。</w:t>
      </w:r>
    </w:p>
    <w:p w:rsidR="00555806" w:rsidRPr="00EE774A" w:rsidRDefault="00555806" w:rsidP="00555806">
      <w:pPr>
        <w:spacing w:line="480" w:lineRule="exact"/>
        <w:ind w:firstLineChars="150" w:firstLine="420"/>
        <w:rPr>
          <w:rFonts w:ascii="宋体" w:hAnsi="宋体"/>
          <w:color w:val="000000"/>
          <w:sz w:val="28"/>
          <w:szCs w:val="28"/>
        </w:rPr>
      </w:pPr>
      <w:r w:rsidRPr="00EE774A">
        <w:rPr>
          <w:rFonts w:ascii="宋体" w:hAnsi="宋体" w:hint="eastAsia"/>
          <w:color w:val="000000"/>
          <w:sz w:val="28"/>
          <w:szCs w:val="28"/>
        </w:rPr>
        <w:t>（2）截至本报告日，所有投资资产正常运营，未发现有异常情况或者不利情况。</w:t>
      </w:r>
    </w:p>
    <w:p w:rsidR="00555806" w:rsidRPr="00EE774A" w:rsidRDefault="00555806" w:rsidP="00555806">
      <w:pPr>
        <w:spacing w:line="480" w:lineRule="exact"/>
        <w:ind w:firstLineChars="150" w:firstLine="420"/>
        <w:rPr>
          <w:rFonts w:ascii="宋体" w:hAnsi="宋体"/>
          <w:color w:val="000000"/>
          <w:sz w:val="28"/>
          <w:szCs w:val="28"/>
        </w:rPr>
      </w:pPr>
      <w:r w:rsidRPr="00EE774A">
        <w:rPr>
          <w:rFonts w:ascii="宋体" w:hAnsi="宋体" w:hint="eastAsia"/>
          <w:color w:val="000000"/>
          <w:sz w:val="28"/>
          <w:szCs w:val="28"/>
        </w:rPr>
        <w:t>（3）本产品自成立至本报告日，没有发生涉诉及诉讼等损害投资者利益的情形。</w:t>
      </w:r>
    </w:p>
    <w:p w:rsidR="00555806" w:rsidRPr="00EE774A" w:rsidRDefault="00555806" w:rsidP="00555806">
      <w:pPr>
        <w:spacing w:line="480" w:lineRule="exact"/>
        <w:ind w:right="362" w:firstLineChars="2050" w:firstLine="5740"/>
        <w:jc w:val="right"/>
        <w:rPr>
          <w:rFonts w:ascii="宋体" w:hAnsi="宋体"/>
          <w:color w:val="000000"/>
          <w:sz w:val="28"/>
          <w:szCs w:val="28"/>
        </w:rPr>
      </w:pPr>
      <w:r w:rsidRPr="00EE774A">
        <w:rPr>
          <w:rFonts w:ascii="宋体" w:hAnsi="宋体" w:hint="eastAsia"/>
          <w:color w:val="000000"/>
          <w:sz w:val="28"/>
          <w:szCs w:val="28"/>
        </w:rPr>
        <w:t>中国建设银行</w:t>
      </w:r>
    </w:p>
    <w:p w:rsidR="00555806" w:rsidRPr="00371CB6" w:rsidRDefault="00555806" w:rsidP="00555806">
      <w:pPr>
        <w:spacing w:line="480" w:lineRule="exact"/>
        <w:ind w:right="222" w:firstLineChars="200" w:firstLine="560"/>
        <w:jc w:val="righ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2017年</w:t>
      </w:r>
      <w:r w:rsidR="00116B32">
        <w:rPr>
          <w:rFonts w:ascii="宋体" w:hAnsi="宋体" w:hint="eastAsia"/>
          <w:color w:val="000000"/>
          <w:sz w:val="28"/>
          <w:szCs w:val="28"/>
        </w:rPr>
        <w:t>12</w:t>
      </w:r>
      <w:r>
        <w:rPr>
          <w:rFonts w:ascii="宋体" w:hAnsi="宋体" w:hint="eastAsia"/>
          <w:color w:val="000000"/>
          <w:sz w:val="28"/>
          <w:szCs w:val="28"/>
        </w:rPr>
        <w:t>月</w:t>
      </w:r>
      <w:r w:rsidR="00116B32">
        <w:rPr>
          <w:rFonts w:ascii="宋体" w:hAnsi="宋体" w:hint="eastAsia"/>
          <w:color w:val="000000"/>
          <w:sz w:val="28"/>
          <w:szCs w:val="28"/>
        </w:rPr>
        <w:t>6</w:t>
      </w:r>
      <w:r>
        <w:rPr>
          <w:rFonts w:ascii="宋体" w:hAnsi="宋体" w:hint="eastAsia"/>
          <w:color w:val="000000"/>
          <w:sz w:val="28"/>
          <w:szCs w:val="28"/>
        </w:rPr>
        <w:t>日</w:t>
      </w:r>
      <w:bookmarkStart w:id="0" w:name="_GoBack"/>
      <w:bookmarkEnd w:id="0"/>
    </w:p>
    <w:sectPr w:rsidR="00555806" w:rsidRPr="00371CB6" w:rsidSect="00A26C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2B20" w:rsidRDefault="00492B20" w:rsidP="00555806">
      <w:r>
        <w:separator/>
      </w:r>
    </w:p>
  </w:endnote>
  <w:endnote w:type="continuationSeparator" w:id="0">
    <w:p w:rsidR="00492B20" w:rsidRDefault="00492B20" w:rsidP="005558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2B20" w:rsidRDefault="00492B20" w:rsidP="00555806">
      <w:r>
        <w:separator/>
      </w:r>
    </w:p>
  </w:footnote>
  <w:footnote w:type="continuationSeparator" w:id="0">
    <w:p w:rsidR="00492B20" w:rsidRDefault="00492B20" w:rsidP="0055580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F3745"/>
    <w:rsid w:val="00116B32"/>
    <w:rsid w:val="00153C80"/>
    <w:rsid w:val="001F3745"/>
    <w:rsid w:val="00331DB9"/>
    <w:rsid w:val="00492B20"/>
    <w:rsid w:val="00555806"/>
    <w:rsid w:val="00585789"/>
    <w:rsid w:val="006427FB"/>
    <w:rsid w:val="007F1F77"/>
    <w:rsid w:val="009D2EDE"/>
    <w:rsid w:val="009F09A0"/>
    <w:rsid w:val="00A26C04"/>
    <w:rsid w:val="00A66F45"/>
    <w:rsid w:val="00D13413"/>
    <w:rsid w:val="00E94BA2"/>
    <w:rsid w:val="00E9563A"/>
    <w:rsid w:val="00F50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80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558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5580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5580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5580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5580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55806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80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558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5580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5580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5580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5580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55806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41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26472;&#38639;&#29605;&#20132;&#25509;\&#24320;&#25918;&#24335;&#20135;&#21697;&#26376;&#24230;&#25259;&#38706;\201711\11&#26376;&#36164;&#20135;&#27719;&#24635;&#34920;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26472;&#38639;&#29605;&#20132;&#25509;\&#24320;&#25918;&#24335;&#20135;&#21697;&#26376;&#24230;&#25259;&#38706;\201711\11&#26376;&#36164;&#20135;&#27719;&#24635;&#34920;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26472;&#38639;&#29605;&#20132;&#25509;\&#24320;&#25918;&#24335;&#20135;&#21697;&#26376;&#24230;&#25259;&#38706;\201711\11&#26376;&#36164;&#20135;&#27719;&#24635;&#34920;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hart>
    <c:view3D>
      <c:rotX val="30"/>
      <c:perspective val="30"/>
    </c:view3D>
    <c:plotArea>
      <c:layout>
        <c:manualLayout>
          <c:layoutTarget val="inner"/>
          <c:xMode val="edge"/>
          <c:yMode val="edge"/>
          <c:x val="2.6615965687215956E-2"/>
          <c:y val="6.6436343034213266E-2"/>
          <c:w val="0.64213635490685617"/>
          <c:h val="0.8128773110409655"/>
        </c:manualLayout>
      </c:layout>
      <c:pie3DChart>
        <c:varyColors val="1"/>
        <c:ser>
          <c:idx val="0"/>
          <c:order val="0"/>
          <c:dLbls>
            <c:showVal val="1"/>
            <c:showLeaderLines val="1"/>
          </c:dLbls>
          <c:cat>
            <c:strRef>
              <c:f>'2017年11月'!$A$285:$A$286</c:f>
              <c:strCache>
                <c:ptCount val="2"/>
                <c:pt idx="0">
                  <c:v>现金及债券类</c:v>
                </c:pt>
                <c:pt idx="1">
                  <c:v>融资类</c:v>
                </c:pt>
              </c:strCache>
            </c:strRef>
          </c:cat>
          <c:val>
            <c:numRef>
              <c:f>'2017年11月'!$B$285:$B$286</c:f>
              <c:numCache>
                <c:formatCode>0.00%</c:formatCode>
                <c:ptCount val="2"/>
                <c:pt idx="0">
                  <c:v>0.10682637830052263</c:v>
                </c:pt>
                <c:pt idx="1">
                  <c:v>0.89317362169947756</c:v>
                </c:pt>
              </c:numCache>
            </c:numRef>
          </c:val>
        </c:ser>
      </c:pie3DChart>
    </c:plotArea>
    <c:legend>
      <c:legendPos val="r"/>
    </c:legend>
    <c:plotVisOnly val="1"/>
    <c:dispBlanksAs val="zero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hart>
    <c:view3D>
      <c:rotX val="30"/>
      <c:perspective val="30"/>
    </c:view3D>
    <c:plotArea>
      <c:layout/>
      <c:pie3DChart>
        <c:varyColors val="1"/>
        <c:ser>
          <c:idx val="0"/>
          <c:order val="0"/>
          <c:dLbls>
            <c:showVal val="1"/>
            <c:showLeaderLines val="1"/>
          </c:dLbls>
          <c:cat>
            <c:strRef>
              <c:f>'2017年11月'!$A$295:$A$297</c:f>
              <c:strCache>
                <c:ptCount val="3"/>
                <c:pt idx="0">
                  <c:v>AA+</c:v>
                </c:pt>
                <c:pt idx="1">
                  <c:v>AA</c:v>
                </c:pt>
                <c:pt idx="2">
                  <c:v>AA-及以下</c:v>
                </c:pt>
              </c:strCache>
            </c:strRef>
          </c:cat>
          <c:val>
            <c:numRef>
              <c:f>'2017年11月'!$B$295:$B$297</c:f>
              <c:numCache>
                <c:formatCode>General</c:formatCode>
                <c:ptCount val="3"/>
                <c:pt idx="2" formatCode="0.00%">
                  <c:v>1</c:v>
                </c:pt>
              </c:numCache>
            </c:numRef>
          </c:val>
        </c:ser>
      </c:pie3DChart>
    </c:plotArea>
    <c:legend>
      <c:legendPos val="r"/>
      <c:legendEntry>
        <c:idx val="0"/>
        <c:delete val="1"/>
      </c:legendEntry>
      <c:legendEntry>
        <c:idx val="1"/>
        <c:delete val="1"/>
      </c:legendEntry>
    </c:legend>
    <c:plotVisOnly val="1"/>
    <c:dispBlanksAs val="zero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zh-CN"/>
  <c:chart>
    <c:plotArea>
      <c:layout/>
      <c:barChart>
        <c:barDir val="bar"/>
        <c:grouping val="clustered"/>
        <c:ser>
          <c:idx val="0"/>
          <c:order val="0"/>
          <c:tx>
            <c:strRef>
              <c:f>'2017年11月'!$B$301</c:f>
              <c:strCache>
                <c:ptCount val="1"/>
                <c:pt idx="0">
                  <c:v>11月各行业</c:v>
                </c:pt>
              </c:strCache>
            </c:strRef>
          </c:tx>
          <c:cat>
            <c:strRef>
              <c:f>'2017年11月'!$A$302:$A$303</c:f>
              <c:strCache>
                <c:ptCount val="2"/>
                <c:pt idx="0">
                  <c:v>交通运输、仓储和邮政业</c:v>
                </c:pt>
                <c:pt idx="1">
                  <c:v>批发和零售业</c:v>
                </c:pt>
              </c:strCache>
            </c:strRef>
          </c:cat>
          <c:val>
            <c:numRef>
              <c:f>'2017年11月'!$B$302:$B$303</c:f>
              <c:numCache>
                <c:formatCode>0.00%</c:formatCode>
                <c:ptCount val="2"/>
                <c:pt idx="0">
                  <c:v>0.21259842519685046</c:v>
                </c:pt>
                <c:pt idx="1">
                  <c:v>0.78740157480314954</c:v>
                </c:pt>
              </c:numCache>
            </c:numRef>
          </c:val>
        </c:ser>
        <c:ser>
          <c:idx val="1"/>
          <c:order val="1"/>
          <c:tx>
            <c:strRef>
              <c:f>'2017年11月'!$C$301</c:f>
              <c:strCache>
                <c:ptCount val="1"/>
                <c:pt idx="0">
                  <c:v>10月各行业</c:v>
                </c:pt>
              </c:strCache>
            </c:strRef>
          </c:tx>
          <c:cat>
            <c:strRef>
              <c:f>'2017年11月'!$A$302:$A$303</c:f>
              <c:strCache>
                <c:ptCount val="2"/>
                <c:pt idx="0">
                  <c:v>交通运输、仓储和邮政业</c:v>
                </c:pt>
                <c:pt idx="1">
                  <c:v>批发和零售业</c:v>
                </c:pt>
              </c:strCache>
            </c:strRef>
          </c:cat>
          <c:val>
            <c:numRef>
              <c:f>'2017年11月'!$C$302:$C$303</c:f>
              <c:numCache>
                <c:formatCode>General</c:formatCode>
                <c:ptCount val="2"/>
                <c:pt idx="0" formatCode="0.00%">
                  <c:v>1</c:v>
                </c:pt>
                <c:pt idx="1">
                  <c:v>0</c:v>
                </c:pt>
              </c:numCache>
            </c:numRef>
          </c:val>
        </c:ser>
        <c:ser>
          <c:idx val="2"/>
          <c:order val="2"/>
          <c:tx>
            <c:strRef>
              <c:f>'2017年11月'!$D$301</c:f>
              <c:strCache>
                <c:ptCount val="1"/>
                <c:pt idx="0">
                  <c:v>行业变化</c:v>
                </c:pt>
              </c:strCache>
            </c:strRef>
          </c:tx>
          <c:cat>
            <c:strRef>
              <c:f>'2017年11月'!$A$302:$A$303</c:f>
              <c:strCache>
                <c:ptCount val="2"/>
                <c:pt idx="0">
                  <c:v>交通运输、仓储和邮政业</c:v>
                </c:pt>
                <c:pt idx="1">
                  <c:v>批发和零售业</c:v>
                </c:pt>
              </c:strCache>
            </c:strRef>
          </c:cat>
          <c:val>
            <c:numRef>
              <c:f>'2017年11月'!$D$302:$D$303</c:f>
              <c:numCache>
                <c:formatCode>0.00%</c:formatCode>
                <c:ptCount val="2"/>
                <c:pt idx="0">
                  <c:v>-0.78740157480314954</c:v>
                </c:pt>
                <c:pt idx="1">
                  <c:v>0.78740157480314954</c:v>
                </c:pt>
              </c:numCache>
            </c:numRef>
          </c:val>
        </c:ser>
        <c:axId val="42639744"/>
        <c:axId val="42641280"/>
      </c:barChart>
      <c:catAx>
        <c:axId val="42639744"/>
        <c:scaling>
          <c:orientation val="minMax"/>
        </c:scaling>
        <c:axPos val="l"/>
        <c:tickLblPos val="nextTo"/>
        <c:crossAx val="42641280"/>
        <c:crosses val="autoZero"/>
        <c:auto val="1"/>
        <c:lblAlgn val="ctr"/>
        <c:lblOffset val="100"/>
      </c:catAx>
      <c:valAx>
        <c:axId val="42641280"/>
        <c:scaling>
          <c:orientation val="minMax"/>
          <c:max val="1"/>
          <c:min val="-0.8"/>
        </c:scaling>
        <c:axPos val="b"/>
        <c:majorGridlines/>
        <c:numFmt formatCode="0%" sourceLinked="0"/>
        <c:tickLblPos val="nextTo"/>
        <c:crossAx val="42639744"/>
        <c:crosses val="autoZero"/>
        <c:crossBetween val="between"/>
        <c:majorUnit val="0.2"/>
      </c:valAx>
    </c:plotArea>
    <c:legend>
      <c:legendPos val="r"/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杨雯玥</dc:creator>
  <cp:lastModifiedBy>ccb</cp:lastModifiedBy>
  <cp:revision>4</cp:revision>
  <dcterms:created xsi:type="dcterms:W3CDTF">2017-12-07T07:42:00Z</dcterms:created>
  <dcterms:modified xsi:type="dcterms:W3CDTF">2017-12-07T08:39:00Z</dcterms:modified>
</cp:coreProperties>
</file>