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5" w:rsidRPr="00986C29" w:rsidRDefault="008D727F" w:rsidP="00747E1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986C29">
        <w:rPr>
          <w:rFonts w:hint="eastAsia"/>
          <w:b/>
          <w:color w:val="000000"/>
          <w:sz w:val="32"/>
          <w:szCs w:val="32"/>
        </w:rPr>
        <w:t xml:space="preserve"> </w:t>
      </w:r>
      <w:r w:rsidR="00747E15" w:rsidRPr="00986C29">
        <w:rPr>
          <w:rFonts w:hint="eastAsia"/>
          <w:b/>
          <w:color w:val="000000"/>
          <w:sz w:val="32"/>
          <w:szCs w:val="32"/>
        </w:rPr>
        <w:t>“乾元—日鑫月溢”（按日）开放式资产组合型人民币理财产品月度投资管理报告</w:t>
      </w:r>
    </w:p>
    <w:p w:rsidR="00747E15" w:rsidRPr="00986C29" w:rsidRDefault="00747E15" w:rsidP="00747E15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986C29">
        <w:rPr>
          <w:rFonts w:ascii="宋体" w:hAnsi="宋体" w:hint="eastAsia"/>
          <w:color w:val="000000"/>
          <w:szCs w:val="21"/>
        </w:rPr>
        <w:t>报告日：</w:t>
      </w:r>
      <w:r>
        <w:rPr>
          <w:rFonts w:ascii="宋体" w:hAnsi="宋体" w:hint="eastAsia"/>
          <w:color w:val="000000"/>
          <w:szCs w:val="21"/>
        </w:rPr>
        <w:t>2017</w:t>
      </w:r>
      <w:r w:rsidRPr="00986C29">
        <w:rPr>
          <w:rFonts w:ascii="宋体" w:hAnsi="宋体" w:hint="eastAsia"/>
          <w:color w:val="000000"/>
          <w:szCs w:val="21"/>
        </w:rPr>
        <w:t>年</w:t>
      </w:r>
      <w:r w:rsidR="00E76F46">
        <w:rPr>
          <w:rFonts w:ascii="宋体" w:hAnsi="宋体" w:hint="eastAsia"/>
          <w:color w:val="000000"/>
          <w:szCs w:val="21"/>
        </w:rPr>
        <w:t>11</w:t>
      </w:r>
      <w:r w:rsidRPr="00986C29"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3</w:t>
      </w:r>
      <w:r w:rsidR="00E76F46">
        <w:rPr>
          <w:rFonts w:ascii="宋体" w:hAnsi="宋体" w:hint="eastAsia"/>
          <w:color w:val="000000"/>
          <w:szCs w:val="21"/>
        </w:rPr>
        <w:t>0</w:t>
      </w:r>
      <w:r w:rsidRPr="00986C29">
        <w:rPr>
          <w:rFonts w:ascii="宋体" w:hAnsi="宋体" w:hint="eastAsia"/>
          <w:color w:val="000000"/>
          <w:szCs w:val="21"/>
        </w:rPr>
        <w:t>日</w:t>
      </w:r>
    </w:p>
    <w:p w:rsidR="00747E15" w:rsidRPr="004340C8" w:rsidRDefault="00747E15" w:rsidP="00747E15">
      <w:pPr>
        <w:jc w:val="left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   “乾元-日鑫月溢”（按日）开放式资产组合型人民币理财产品于</w:t>
      </w:r>
      <w:smartTag w:uri="urn:schemas-microsoft-com:office:smarttags" w:element="chsdate">
        <w:smartTagPr>
          <w:attr w:name="Year" w:val="2011"/>
          <w:attr w:name="Month" w:val="3"/>
          <w:attr w:name="Day" w:val="17"/>
          <w:attr w:name="IsLunarDate" w:val="False"/>
          <w:attr w:name="IsROCDate" w:val="False"/>
        </w:smartTagPr>
        <w:r w:rsidRPr="00986C29">
          <w:rPr>
            <w:rFonts w:ascii="宋体" w:hAnsi="宋体" w:hint="eastAsia"/>
            <w:color w:val="000000"/>
            <w:sz w:val="28"/>
            <w:szCs w:val="28"/>
          </w:rPr>
          <w:t>2011年3月17日</w:t>
        </w:r>
      </w:smartTag>
      <w:r w:rsidRPr="00986C29">
        <w:rPr>
          <w:rFonts w:ascii="宋体" w:hAnsi="宋体" w:hint="eastAsia"/>
          <w:color w:val="000000"/>
          <w:sz w:val="28"/>
          <w:szCs w:val="28"/>
        </w:rPr>
        <w:t>正式成立。截至报告日，本产品规模为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</w:t>
      </w:r>
      <w:r w:rsidR="004340C8" w:rsidRPr="004340C8">
        <w:rPr>
          <w:rFonts w:ascii="宋体" w:hAnsi="宋体" w:hint="eastAsia"/>
          <w:color w:val="000000"/>
          <w:sz w:val="28"/>
          <w:szCs w:val="28"/>
        </w:rPr>
        <w:t>133,845,621,841.54</w:t>
      </w:r>
      <w:r w:rsidRPr="00986C29">
        <w:rPr>
          <w:rFonts w:ascii="宋体" w:hAnsi="宋体" w:hint="eastAsia"/>
          <w:color w:val="000000"/>
          <w:sz w:val="28"/>
          <w:szCs w:val="28"/>
        </w:rPr>
        <w:t>元。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747E15" w:rsidRPr="009C7E87" w:rsidRDefault="00747E15" w:rsidP="00747E1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E76F46"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日至</w:t>
      </w: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C7E87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333409">
        <w:rPr>
          <w:rFonts w:ascii="宋体" w:hAnsi="宋体" w:hint="eastAsia"/>
          <w:color w:val="000000"/>
          <w:sz w:val="28"/>
          <w:szCs w:val="28"/>
        </w:rPr>
        <w:t>1</w:t>
      </w:r>
      <w:r w:rsidRPr="009C7E87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="00333409">
        <w:rPr>
          <w:rFonts w:ascii="宋体" w:hAnsi="宋体" w:hint="eastAsia"/>
          <w:color w:val="000000"/>
          <w:sz w:val="28"/>
          <w:szCs w:val="28"/>
        </w:rPr>
        <w:t>0</w:t>
      </w:r>
      <w:r w:rsidRPr="009C7E87">
        <w:rPr>
          <w:rFonts w:ascii="宋体" w:hAnsi="宋体" w:hint="eastAsia"/>
          <w:color w:val="000000"/>
          <w:sz w:val="28"/>
          <w:szCs w:val="28"/>
        </w:rPr>
        <w:t>日投资者实际收益率如下表所示：</w:t>
      </w:r>
    </w:p>
    <w:tbl>
      <w:tblPr>
        <w:tblW w:w="10361" w:type="dxa"/>
        <w:jc w:val="center"/>
        <w:tblInd w:w="-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1054"/>
        <w:gridCol w:w="1134"/>
        <w:gridCol w:w="993"/>
        <w:gridCol w:w="1134"/>
        <w:gridCol w:w="1134"/>
        <w:gridCol w:w="1134"/>
        <w:gridCol w:w="1184"/>
        <w:gridCol w:w="919"/>
      </w:tblGrid>
      <w:tr w:rsidR="00747E15" w:rsidRPr="009C7E87" w:rsidTr="005E0CC9">
        <w:trPr>
          <w:trHeight w:val="473"/>
          <w:jc w:val="center"/>
        </w:trPr>
        <w:tc>
          <w:tcPr>
            <w:tcW w:w="1675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05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T&lt;7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T&lt;14</w:t>
            </w:r>
          </w:p>
        </w:tc>
        <w:tc>
          <w:tcPr>
            <w:tcW w:w="993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T&lt;30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30≤T&lt;60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60≤T&lt;90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90≤T&lt;180</w:t>
            </w:r>
          </w:p>
        </w:tc>
        <w:tc>
          <w:tcPr>
            <w:tcW w:w="118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180≤T&lt;365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5" w:rsidRPr="009C7E87" w:rsidRDefault="00747E15" w:rsidP="005E0CC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C7E87">
              <w:rPr>
                <w:rFonts w:ascii="宋体" w:hAnsi="宋体" w:hint="eastAsia"/>
                <w:color w:val="000000"/>
                <w:sz w:val="18"/>
                <w:szCs w:val="18"/>
              </w:rPr>
              <w:t>T≥365</w:t>
            </w:r>
          </w:p>
        </w:tc>
      </w:tr>
      <w:tr w:rsidR="00747E15" w:rsidRPr="009C7E87" w:rsidTr="005E0CC9">
        <w:trPr>
          <w:trHeight w:val="778"/>
          <w:jc w:val="center"/>
        </w:trPr>
        <w:tc>
          <w:tcPr>
            <w:tcW w:w="1675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05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209D3">
              <w:rPr>
                <w:rFonts w:ascii="宋体" w:hAnsi="宋体"/>
                <w:color w:val="00000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2.4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3.00</w:t>
            </w:r>
            <w:r w:rsidRPr="00A209D3">
              <w:rPr>
                <w:rFonts w:ascii="宋体" w:hAnsi="宋体"/>
                <w:color w:val="00000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84" w:type="dxa"/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  <w:r w:rsidRPr="00A209D3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5" w:rsidRPr="009C7E87" w:rsidRDefault="00747E15" w:rsidP="005E0C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C7E87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 w:rsidRPr="009C7E87"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</w:tbl>
    <w:p w:rsidR="00747E15" w:rsidRDefault="00747E15" w:rsidP="00747E15">
      <w:pPr>
        <w:spacing w:line="480" w:lineRule="exact"/>
        <w:rPr>
          <w:rFonts w:ascii="宋体" w:hAnsi="宋体"/>
          <w:color w:val="000000"/>
          <w:szCs w:val="21"/>
        </w:rPr>
      </w:pPr>
      <w:r w:rsidRPr="009C7E87">
        <w:rPr>
          <w:rFonts w:ascii="宋体" w:hAnsi="宋体" w:hint="eastAsia"/>
          <w:color w:val="000000"/>
          <w:szCs w:val="21"/>
        </w:rPr>
        <w:t>其中： T为投资期，单位：天</w:t>
      </w:r>
    </w:p>
    <w:p w:rsidR="00747E15" w:rsidRPr="00EE774A" w:rsidRDefault="00747E15" w:rsidP="00747E1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747E15" w:rsidRPr="00986C29" w:rsidRDefault="00BF403D" w:rsidP="00747E1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626616" wp14:editId="3480EFF7">
            <wp:extent cx="3076575" cy="1828800"/>
            <wp:effectExtent l="38100" t="0" r="9525" b="1905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747E15" w:rsidRPr="00986C29" w:rsidRDefault="002A0C80" w:rsidP="00747E1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D4D7B0" wp14:editId="0728C574">
            <wp:extent cx="3219450" cy="2028825"/>
            <wp:effectExtent l="0" t="0" r="1905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Pr="00986C2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747E15" w:rsidRPr="00986C29" w:rsidRDefault="002A0C80" w:rsidP="00747E15">
      <w:pPr>
        <w:ind w:right="1190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7D53AC" wp14:editId="2ADCFCDA">
            <wp:extent cx="5274310" cy="2646312"/>
            <wp:effectExtent l="0" t="0" r="21590" b="2095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197" w:firstLine="554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（四）投资类资产的行业占比构成及当月增减变化情况</w:t>
      </w:r>
    </w:p>
    <w:p w:rsidR="00747E15" w:rsidRDefault="009331AC" w:rsidP="00747E15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04F22E0" wp14:editId="0602E53E">
            <wp:extent cx="5274310" cy="2637155"/>
            <wp:effectExtent l="0" t="0" r="21590" b="107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lastRenderedPageBreak/>
        <w:t>（1）自本产品成立起至本报告日，产品管理人恪尽职守、勤勉尽责、谨慎管理，忠实履行有关法律、行政法规和相关文件的规定。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>（2）截至本报告日，个别项目未能正常完全还本付息，但不影响按预期收益兑付客户。</w:t>
      </w:r>
    </w:p>
    <w:p w:rsidR="00747E15" w:rsidRPr="00986C29" w:rsidRDefault="00747E15" w:rsidP="00747E15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（3）本产品自成立至本报告日，没有发生涉诉及诉讼等损害投资者利益的情形。                             </w:t>
      </w:r>
    </w:p>
    <w:p w:rsidR="00747E15" w:rsidRPr="00986C29" w:rsidRDefault="00747E15" w:rsidP="00747E15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986C29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986C29" w:rsidRDefault="00747E15" w:rsidP="00747E15">
      <w:pPr>
        <w:spacing w:line="480" w:lineRule="exact"/>
        <w:ind w:right="-58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D137A7">
        <w:rPr>
          <w:rFonts w:ascii="宋体" w:hAnsi="宋体" w:hint="eastAsia"/>
          <w:color w:val="000000"/>
          <w:sz w:val="28"/>
          <w:szCs w:val="28"/>
        </w:rPr>
        <w:t>2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 w:rsidR="00D137A7">
        <w:rPr>
          <w:rFonts w:ascii="宋体" w:hAnsi="宋体" w:hint="eastAsia"/>
          <w:color w:val="000000"/>
          <w:sz w:val="28"/>
          <w:szCs w:val="28"/>
        </w:rPr>
        <w:t>6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p w:rsidR="00961315" w:rsidRDefault="00E85EEE" w:rsidP="00E85EEE">
      <w:r>
        <w:t xml:space="preserve"> </w:t>
      </w:r>
    </w:p>
    <w:p w:rsidR="00961315" w:rsidRPr="006317AB" w:rsidRDefault="00961315" w:rsidP="006317AB"/>
    <w:sectPr w:rsidR="00961315" w:rsidRPr="0063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62" w:rsidRDefault="00870462" w:rsidP="00747E15">
      <w:r>
        <w:separator/>
      </w:r>
    </w:p>
  </w:endnote>
  <w:endnote w:type="continuationSeparator" w:id="0">
    <w:p w:rsidR="00870462" w:rsidRDefault="0087046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62" w:rsidRDefault="00870462" w:rsidP="00747E15">
      <w:r>
        <w:separator/>
      </w:r>
    </w:p>
  </w:footnote>
  <w:footnote w:type="continuationSeparator" w:id="0">
    <w:p w:rsidR="00870462" w:rsidRDefault="0087046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120E2F"/>
    <w:rsid w:val="00153C80"/>
    <w:rsid w:val="001E60BC"/>
    <w:rsid w:val="001F4173"/>
    <w:rsid w:val="002A0C80"/>
    <w:rsid w:val="00333409"/>
    <w:rsid w:val="004340C8"/>
    <w:rsid w:val="00556FF5"/>
    <w:rsid w:val="005A7E4B"/>
    <w:rsid w:val="006317AB"/>
    <w:rsid w:val="00747E15"/>
    <w:rsid w:val="007F05DC"/>
    <w:rsid w:val="00821DFE"/>
    <w:rsid w:val="00870462"/>
    <w:rsid w:val="008D727F"/>
    <w:rsid w:val="009331AC"/>
    <w:rsid w:val="00961315"/>
    <w:rsid w:val="009A0441"/>
    <w:rsid w:val="00A20C0F"/>
    <w:rsid w:val="00A66F45"/>
    <w:rsid w:val="00AD5E04"/>
    <w:rsid w:val="00BC6C87"/>
    <w:rsid w:val="00BF403D"/>
    <w:rsid w:val="00BF7077"/>
    <w:rsid w:val="00C646FC"/>
    <w:rsid w:val="00D137A7"/>
    <w:rsid w:val="00D8585C"/>
    <w:rsid w:val="00DB4B6B"/>
    <w:rsid w:val="00DC0BC9"/>
    <w:rsid w:val="00E76F46"/>
    <w:rsid w:val="00E85EEE"/>
    <w:rsid w:val="00F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6472;&#38639;&#29605;&#20132;&#25509;\&#24320;&#25918;&#24335;&#20135;&#21697;&#26376;&#24230;&#25259;&#38706;\201712\11&#26376;&#36164;&#20135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399316855243092E-2"/>
          <c:y val="4.1203593205976601E-2"/>
          <c:w val="0.6120956845245844"/>
          <c:h val="0.91049404625825081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'2017年11月'!$A$5:$A$7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投资类及其他</c:v>
                </c:pt>
              </c:strCache>
            </c:strRef>
          </c:cat>
          <c:val>
            <c:numRef>
              <c:f>'2017年11月'!$B$5:$B$7</c:f>
              <c:numCache>
                <c:formatCode>0.00%</c:formatCode>
                <c:ptCount val="3"/>
                <c:pt idx="0">
                  <c:v>0.1159</c:v>
                </c:pt>
                <c:pt idx="1">
                  <c:v>7.6799999999999993E-2</c:v>
                </c:pt>
                <c:pt idx="2">
                  <c:v>0.80730000000000002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'2017年11月'!$A$12:$A$16</c:f>
              <c:strCache>
                <c:ptCount val="5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  <c:pt idx="4">
                  <c:v>未评级</c:v>
                </c:pt>
              </c:strCache>
            </c:strRef>
          </c:cat>
          <c:val>
            <c:numRef>
              <c:f>'2017年11月'!$B$12:$B$16</c:f>
              <c:numCache>
                <c:formatCode>0.00%</c:formatCode>
                <c:ptCount val="5"/>
                <c:pt idx="0">
                  <c:v>4.5208296966493006E-2</c:v>
                </c:pt>
                <c:pt idx="1">
                  <c:v>0.23610185976829495</c:v>
                </c:pt>
                <c:pt idx="2">
                  <c:v>0.17632360996248628</c:v>
                </c:pt>
                <c:pt idx="3">
                  <c:v>0.54236623330272582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459120734908135"/>
          <c:y val="5.0925925925925923E-2"/>
          <c:w val="0.61104921259842515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'2017年11月'!$B$20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'2017年11月'!$A$21:$A$36</c:f>
              <c:strCache>
                <c:ptCount val="16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卫生、社会保障和社会福利业</c:v>
                </c:pt>
                <c:pt idx="12">
                  <c:v>信息传输、计算机服务和软件业</c:v>
                </c:pt>
                <c:pt idx="13">
                  <c:v>制造业</c:v>
                </c:pt>
                <c:pt idx="14">
                  <c:v>综合</c:v>
                </c:pt>
                <c:pt idx="15">
                  <c:v>租赁和商务服务业</c:v>
                </c:pt>
              </c:strCache>
            </c:strRef>
          </c:cat>
          <c:val>
            <c:numRef>
              <c:f>'2017年11月'!$B$21:$B$36</c:f>
              <c:numCache>
                <c:formatCode>0.00%</c:formatCode>
                <c:ptCount val="16"/>
                <c:pt idx="0">
                  <c:v>0.27464241084188851</c:v>
                </c:pt>
                <c:pt idx="1">
                  <c:v>2.8712172826845656E-2</c:v>
                </c:pt>
                <c:pt idx="2">
                  <c:v>0.13339568493466181</c:v>
                </c:pt>
                <c:pt idx="3">
                  <c:v>2.6750471577806509E-2</c:v>
                </c:pt>
                <c:pt idx="4">
                  <c:v>0.15319995072609788</c:v>
                </c:pt>
                <c:pt idx="5">
                  <c:v>0</c:v>
                </c:pt>
                <c:pt idx="6">
                  <c:v>0</c:v>
                </c:pt>
                <c:pt idx="7">
                  <c:v>2.2202891409579404E-2</c:v>
                </c:pt>
                <c:pt idx="8">
                  <c:v>2.4521265612989302E-2</c:v>
                </c:pt>
                <c:pt idx="9">
                  <c:v>8.2339199871828736E-5</c:v>
                </c:pt>
                <c:pt idx="10">
                  <c:v>4.9451803422175755E-2</c:v>
                </c:pt>
                <c:pt idx="11">
                  <c:v>0</c:v>
                </c:pt>
                <c:pt idx="12">
                  <c:v>0</c:v>
                </c:pt>
                <c:pt idx="13">
                  <c:v>9.6313713827866632E-2</c:v>
                </c:pt>
                <c:pt idx="14">
                  <c:v>3.6558977823002228E-2</c:v>
                </c:pt>
                <c:pt idx="15">
                  <c:v>0.15416831779721449</c:v>
                </c:pt>
              </c:numCache>
            </c:numRef>
          </c:val>
        </c:ser>
        <c:ser>
          <c:idx val="1"/>
          <c:order val="1"/>
          <c:tx>
            <c:strRef>
              <c:f>'2017年11月'!$C$20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'2017年11月'!$A$21:$A$36</c:f>
              <c:strCache>
                <c:ptCount val="16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卫生、社会保障和社会福利业</c:v>
                </c:pt>
                <c:pt idx="12">
                  <c:v>信息传输、计算机服务和软件业</c:v>
                </c:pt>
                <c:pt idx="13">
                  <c:v>制造业</c:v>
                </c:pt>
                <c:pt idx="14">
                  <c:v>综合</c:v>
                </c:pt>
                <c:pt idx="15">
                  <c:v>租赁和商务服务业</c:v>
                </c:pt>
              </c:strCache>
            </c:strRef>
          </c:cat>
          <c:val>
            <c:numRef>
              <c:f>'2017年11月'!$C$21:$C$36</c:f>
              <c:numCache>
                <c:formatCode>0.00%</c:formatCode>
                <c:ptCount val="16"/>
                <c:pt idx="0">
                  <c:v>0.29353042585431371</c:v>
                </c:pt>
                <c:pt idx="1">
                  <c:v>3.0200000000000001E-2</c:v>
                </c:pt>
                <c:pt idx="2">
                  <c:v>0.15737936765773461</c:v>
                </c:pt>
                <c:pt idx="3">
                  <c:v>2.8093090822030195E-2</c:v>
                </c:pt>
                <c:pt idx="4">
                  <c:v>7.5851345219481528E-4</c:v>
                </c:pt>
                <c:pt idx="5">
                  <c:v>3.7457454429373593E-2</c:v>
                </c:pt>
                <c:pt idx="6">
                  <c:v>6.5550545251403788E-2</c:v>
                </c:pt>
                <c:pt idx="7">
                  <c:v>0</c:v>
                </c:pt>
                <c:pt idx="8">
                  <c:v>2.5751999920194345E-2</c:v>
                </c:pt>
                <c:pt idx="9">
                  <c:v>0</c:v>
                </c:pt>
                <c:pt idx="10">
                  <c:v>3.2822094443738611E-2</c:v>
                </c:pt>
                <c:pt idx="11">
                  <c:v>0</c:v>
                </c:pt>
                <c:pt idx="12">
                  <c:v>0</c:v>
                </c:pt>
                <c:pt idx="13">
                  <c:v>0.10114774620340165</c:v>
                </c:pt>
                <c:pt idx="14">
                  <c:v>3.3711708986436231E-2</c:v>
                </c:pt>
                <c:pt idx="15">
                  <c:v>0.19364380216353266</c:v>
                </c:pt>
              </c:numCache>
            </c:numRef>
          </c:val>
        </c:ser>
        <c:ser>
          <c:idx val="2"/>
          <c:order val="2"/>
          <c:tx>
            <c:strRef>
              <c:f>'2017年11月'!$D$20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'2017年11月'!$A$21:$A$36</c:f>
              <c:strCache>
                <c:ptCount val="16"/>
                <c:pt idx="0">
                  <c:v>采矿业</c:v>
                </c:pt>
                <c:pt idx="1">
                  <c:v>电力、热力、燃气及水生产和供应业</c:v>
                </c:pt>
                <c:pt idx="2">
                  <c:v>房地产业</c:v>
                </c:pt>
                <c:pt idx="3">
                  <c:v>房地产业（保障房）</c:v>
                </c:pt>
                <c:pt idx="4">
                  <c:v>公共管理、社会保障和社会组织</c:v>
                </c:pt>
                <c:pt idx="5">
                  <c:v>建筑业</c:v>
                </c:pt>
                <c:pt idx="6">
                  <c:v>交通运输、仓储和邮政业</c:v>
                </c:pt>
                <c:pt idx="7">
                  <c:v>金融业</c:v>
                </c:pt>
                <c:pt idx="8">
                  <c:v>农、林、牧、渔业</c:v>
                </c:pt>
                <c:pt idx="9">
                  <c:v>批发和零售业</c:v>
                </c:pt>
                <c:pt idx="10">
                  <c:v>水利、环境和公共设施管理业</c:v>
                </c:pt>
                <c:pt idx="11">
                  <c:v>卫生、社会保障和社会福利业</c:v>
                </c:pt>
                <c:pt idx="12">
                  <c:v>信息传输、计算机服务和软件业</c:v>
                </c:pt>
                <c:pt idx="13">
                  <c:v>制造业</c:v>
                </c:pt>
                <c:pt idx="14">
                  <c:v>综合</c:v>
                </c:pt>
                <c:pt idx="15">
                  <c:v>租赁和商务服务业</c:v>
                </c:pt>
              </c:strCache>
            </c:strRef>
          </c:cat>
          <c:val>
            <c:numRef>
              <c:f>'2017年11月'!$D$21:$D$36</c:f>
              <c:numCache>
                <c:formatCode>0.00%</c:formatCode>
                <c:ptCount val="16"/>
                <c:pt idx="0">
                  <c:v>-1.8888015012425208E-2</c:v>
                </c:pt>
                <c:pt idx="1">
                  <c:v>-1.4878271731543456E-3</c:v>
                </c:pt>
                <c:pt idx="2">
                  <c:v>-2.3983682723072802E-2</c:v>
                </c:pt>
                <c:pt idx="3">
                  <c:v>-1.3426192442236862E-3</c:v>
                </c:pt>
                <c:pt idx="4">
                  <c:v>0.15244143727390305</c:v>
                </c:pt>
                <c:pt idx="5">
                  <c:v>-3.7457454429373593E-2</c:v>
                </c:pt>
                <c:pt idx="6">
                  <c:v>-6.5550545251403788E-2</c:v>
                </c:pt>
                <c:pt idx="7">
                  <c:v>2.2202891409579404E-2</c:v>
                </c:pt>
                <c:pt idx="8">
                  <c:v>-1.2307343072050433E-3</c:v>
                </c:pt>
                <c:pt idx="9">
                  <c:v>8.2339199871828736E-5</c:v>
                </c:pt>
                <c:pt idx="10">
                  <c:v>1.6629708978437144E-2</c:v>
                </c:pt>
                <c:pt idx="11">
                  <c:v>0</c:v>
                </c:pt>
                <c:pt idx="12">
                  <c:v>0</c:v>
                </c:pt>
                <c:pt idx="13">
                  <c:v>-4.8340323755350217E-3</c:v>
                </c:pt>
                <c:pt idx="14">
                  <c:v>2.8472688365659971E-3</c:v>
                </c:pt>
                <c:pt idx="15">
                  <c:v>-3.9475484366318175E-2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63840"/>
        <c:axId val="95365376"/>
      </c:barChart>
      <c:catAx>
        <c:axId val="95363840"/>
        <c:scaling>
          <c:orientation val="minMax"/>
        </c:scaling>
        <c:delete val="0"/>
        <c:axPos val="l"/>
        <c:numFmt formatCode="#,##0_);[Red]\(#,##0\)" sourceLinked="0"/>
        <c:majorTickMark val="in"/>
        <c:minorTickMark val="in"/>
        <c:tickLblPos val="nextTo"/>
        <c:txPr>
          <a:bodyPr/>
          <a:lstStyle/>
          <a:p>
            <a:pPr>
              <a:defRPr sz="800" baseline="0"/>
            </a:pPr>
            <a:endParaRPr lang="zh-CN"/>
          </a:p>
        </c:txPr>
        <c:crossAx val="95365376"/>
        <c:crosses val="autoZero"/>
        <c:auto val="0"/>
        <c:lblAlgn val="ctr"/>
        <c:lblOffset val="0"/>
        <c:noMultiLvlLbl val="0"/>
      </c:catAx>
      <c:valAx>
        <c:axId val="95365376"/>
        <c:scaling>
          <c:orientation val="minMax"/>
          <c:min val="-0.2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95363840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aseline="0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'2017年11月'!$B$44</c:f>
              <c:strCache>
                <c:ptCount val="1"/>
                <c:pt idx="0">
                  <c:v>11月各行业</c:v>
                </c:pt>
              </c:strCache>
            </c:strRef>
          </c:tx>
          <c:invertIfNegative val="0"/>
          <c:cat>
            <c:strRef>
              <c:f>'2017年11月'!$A$45:$A$53</c:f>
              <c:strCache>
                <c:ptCount val="9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  <c:pt idx="7">
                  <c:v>水利、环境和公共设施管理业</c:v>
                </c:pt>
                <c:pt idx="8">
                  <c:v>综合</c:v>
                </c:pt>
              </c:strCache>
            </c:strRef>
          </c:cat>
          <c:val>
            <c:numRef>
              <c:f>'2017年11月'!$B$45:$B$53</c:f>
              <c:numCache>
                <c:formatCode>0.00%</c:formatCode>
                <c:ptCount val="9"/>
                <c:pt idx="0">
                  <c:v>4.2900000000000001E-2</c:v>
                </c:pt>
                <c:pt idx="1">
                  <c:v>2.1600000000000001E-2</c:v>
                </c:pt>
                <c:pt idx="2">
                  <c:v>0.78059999999999996</c:v>
                </c:pt>
                <c:pt idx="3">
                  <c:v>1.0500000000000001E-2</c:v>
                </c:pt>
                <c:pt idx="4">
                  <c:v>0</c:v>
                </c:pt>
                <c:pt idx="5">
                  <c:v>0.14369999999999999</c:v>
                </c:pt>
                <c:pt idx="6">
                  <c:v>0</c:v>
                </c:pt>
                <c:pt idx="7">
                  <c:v>1E-4</c:v>
                </c:pt>
                <c:pt idx="8">
                  <c:v>5.9999999999999995E-4</c:v>
                </c:pt>
              </c:numCache>
            </c:numRef>
          </c:val>
        </c:ser>
        <c:ser>
          <c:idx val="1"/>
          <c:order val="1"/>
          <c:tx>
            <c:strRef>
              <c:f>'2017年11月'!$C$44</c:f>
              <c:strCache>
                <c:ptCount val="1"/>
                <c:pt idx="0">
                  <c:v>10月各行业</c:v>
                </c:pt>
              </c:strCache>
            </c:strRef>
          </c:tx>
          <c:invertIfNegative val="0"/>
          <c:cat>
            <c:strRef>
              <c:f>'2017年11月'!$A$45:$A$53</c:f>
              <c:strCache>
                <c:ptCount val="9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  <c:pt idx="7">
                  <c:v>水利、环境和公共设施管理业</c:v>
                </c:pt>
                <c:pt idx="8">
                  <c:v>综合</c:v>
                </c:pt>
              </c:strCache>
            </c:strRef>
          </c:cat>
          <c:val>
            <c:numRef>
              <c:f>'2017年11月'!$C$45:$C$53</c:f>
              <c:numCache>
                <c:formatCode>0.00%</c:formatCode>
                <c:ptCount val="9"/>
                <c:pt idx="0">
                  <c:v>4.3087660605361441E-2</c:v>
                </c:pt>
                <c:pt idx="1">
                  <c:v>2.1630351709518797E-2</c:v>
                </c:pt>
                <c:pt idx="2">
                  <c:v>0.78301873188458049</c:v>
                </c:pt>
                <c:pt idx="3">
                  <c:v>6.1862805889223759E-3</c:v>
                </c:pt>
                <c:pt idx="4">
                  <c:v>7.2101172365062654E-4</c:v>
                </c:pt>
                <c:pt idx="5">
                  <c:v>0.1442023447301253</c:v>
                </c:pt>
                <c:pt idx="6">
                  <c:v>1.1536187578410025E-3</c:v>
                </c:pt>
                <c:pt idx="7" formatCode="General">
                  <c:v>0</c:v>
                </c:pt>
                <c:pt idx="8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'2017年11月'!$D$44</c:f>
              <c:strCache>
                <c:ptCount val="1"/>
                <c:pt idx="0">
                  <c:v>行业变化</c:v>
                </c:pt>
              </c:strCache>
            </c:strRef>
          </c:tx>
          <c:invertIfNegative val="0"/>
          <c:cat>
            <c:strRef>
              <c:f>'2017年11月'!$A$45:$A$53</c:f>
              <c:strCache>
                <c:ptCount val="9"/>
                <c:pt idx="0">
                  <c:v>采矿业</c:v>
                </c:pt>
                <c:pt idx="1">
                  <c:v>交通运输、仓储和邮政业</c:v>
                </c:pt>
                <c:pt idx="2">
                  <c:v>金融业</c:v>
                </c:pt>
                <c:pt idx="3">
                  <c:v>租赁和商务服务业</c:v>
                </c:pt>
                <c:pt idx="4">
                  <c:v>信息传输、计算机服务和软件业</c:v>
                </c:pt>
                <c:pt idx="5">
                  <c:v>制造业</c:v>
                </c:pt>
                <c:pt idx="6">
                  <c:v>农、林、牧、渔业</c:v>
                </c:pt>
                <c:pt idx="7">
                  <c:v>水利、环境和公共设施管理业</c:v>
                </c:pt>
                <c:pt idx="8">
                  <c:v>综合</c:v>
                </c:pt>
              </c:strCache>
            </c:strRef>
          </c:cat>
          <c:val>
            <c:numRef>
              <c:f>'2017年11月'!$D$45:$D$53</c:f>
              <c:numCache>
                <c:formatCode>0.00%</c:formatCode>
                <c:ptCount val="9"/>
                <c:pt idx="0">
                  <c:v>-1.8766060536144075E-4</c:v>
                </c:pt>
                <c:pt idx="1">
                  <c:v>-3.0351709518795789E-5</c:v>
                </c:pt>
                <c:pt idx="2">
                  <c:v>-2.4187318845805272E-3</c:v>
                </c:pt>
                <c:pt idx="3">
                  <c:v>4.3137194110776248E-3</c:v>
                </c:pt>
                <c:pt idx="4">
                  <c:v>-7.2101172365062654E-4</c:v>
                </c:pt>
                <c:pt idx="5">
                  <c:v>-5.0234473012530922E-4</c:v>
                </c:pt>
                <c:pt idx="6">
                  <c:v>-1.1536187578410025E-3</c:v>
                </c:pt>
                <c:pt idx="7">
                  <c:v>1E-4</c:v>
                </c:pt>
                <c:pt idx="8">
                  <c:v>5.9999999999999995E-4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90720"/>
        <c:axId val="95396608"/>
      </c:barChart>
      <c:catAx>
        <c:axId val="95390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5396608"/>
        <c:crosses val="autoZero"/>
        <c:auto val="1"/>
        <c:lblAlgn val="ctr"/>
        <c:lblOffset val="100"/>
        <c:noMultiLvlLbl val="0"/>
      </c:catAx>
      <c:valAx>
        <c:axId val="95396608"/>
        <c:scaling>
          <c:orientation val="minMax"/>
          <c:max val="0.8"/>
          <c:min val="-0.8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95390720"/>
        <c:crosses val="autoZero"/>
        <c:crossBetween val="between"/>
        <c:maj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</cp:lastModifiedBy>
  <cp:revision>5</cp:revision>
  <dcterms:created xsi:type="dcterms:W3CDTF">2017-12-07T11:04:00Z</dcterms:created>
  <dcterms:modified xsi:type="dcterms:W3CDTF">2017-12-08T00:57:00Z</dcterms:modified>
</cp:coreProperties>
</file>