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4F" w:rsidRPr="00EE774A" w:rsidRDefault="006967C1" w:rsidP="00307E4F">
      <w:pPr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EE774A">
        <w:rPr>
          <w:rFonts w:hint="eastAsia"/>
          <w:b/>
          <w:color w:val="000000"/>
          <w:sz w:val="32"/>
          <w:szCs w:val="32"/>
        </w:rPr>
        <w:t xml:space="preserve"> </w:t>
      </w:r>
      <w:r w:rsidR="00307E4F" w:rsidRPr="00EE774A">
        <w:rPr>
          <w:rFonts w:hint="eastAsia"/>
          <w:b/>
          <w:color w:val="000000"/>
          <w:sz w:val="32"/>
          <w:szCs w:val="32"/>
        </w:rPr>
        <w:t>“乾元—日</w:t>
      </w:r>
      <w:proofErr w:type="gramStart"/>
      <w:r w:rsidR="00307E4F" w:rsidRPr="00EE774A">
        <w:rPr>
          <w:rFonts w:hint="eastAsia"/>
          <w:b/>
          <w:color w:val="000000"/>
          <w:sz w:val="32"/>
          <w:szCs w:val="32"/>
        </w:rPr>
        <w:t>鑫</w:t>
      </w:r>
      <w:proofErr w:type="gramEnd"/>
      <w:r w:rsidR="00307E4F" w:rsidRPr="00EE774A">
        <w:rPr>
          <w:rFonts w:hint="eastAsia"/>
          <w:b/>
          <w:color w:val="000000"/>
          <w:sz w:val="32"/>
          <w:szCs w:val="32"/>
        </w:rPr>
        <w:t>月溢”（按日）开放式资产组合型人民币理财产品月度投资管理报告</w:t>
      </w:r>
    </w:p>
    <w:p w:rsidR="00307E4F" w:rsidRPr="00EE774A" w:rsidRDefault="00307E4F" w:rsidP="00307E4F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>1</w:t>
      </w:r>
      <w:r w:rsidR="007A1C5C">
        <w:rPr>
          <w:rFonts w:ascii="宋体" w:hAnsi="宋体" w:hint="eastAsia"/>
          <w:color w:val="000000"/>
          <w:szCs w:val="21"/>
        </w:rPr>
        <w:t>2</w:t>
      </w:r>
      <w:r w:rsidRPr="00EE774A"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>31</w:t>
      </w:r>
      <w:r w:rsidRPr="00EE774A">
        <w:rPr>
          <w:rFonts w:ascii="宋体" w:hAnsi="宋体" w:hint="eastAsia"/>
          <w:color w:val="000000"/>
          <w:szCs w:val="21"/>
        </w:rPr>
        <w:t>日</w:t>
      </w:r>
    </w:p>
    <w:p w:rsidR="00307E4F" w:rsidRPr="0035334D" w:rsidRDefault="00307E4F" w:rsidP="00307E4F">
      <w:pPr>
        <w:jc w:val="left"/>
        <w:rPr>
          <w:rFonts w:ascii="宋体" w:hAnsi="宋体" w:cs="宋体"/>
          <w:kern w:val="0"/>
          <w:sz w:val="24"/>
          <w:szCs w:val="24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 xml:space="preserve">   “乾元-日</w:t>
      </w:r>
      <w:proofErr w:type="gramStart"/>
      <w:r w:rsidRPr="00EE774A">
        <w:rPr>
          <w:rFonts w:ascii="宋体" w:hAnsi="宋体" w:hint="eastAsia"/>
          <w:color w:val="000000"/>
          <w:sz w:val="28"/>
          <w:szCs w:val="28"/>
        </w:rPr>
        <w:t>鑫</w:t>
      </w:r>
      <w:proofErr w:type="gramEnd"/>
      <w:r w:rsidRPr="00EE774A">
        <w:rPr>
          <w:rFonts w:ascii="宋体" w:hAnsi="宋体" w:hint="eastAsia"/>
          <w:color w:val="000000"/>
          <w:sz w:val="28"/>
          <w:szCs w:val="28"/>
        </w:rPr>
        <w:t>月溢”（按日）开放式资产组合型人民币理财产品于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3"/>
          <w:attr w:name="Year" w:val="2011"/>
        </w:smartTagPr>
        <w:r w:rsidRPr="00EE774A">
          <w:rPr>
            <w:rFonts w:ascii="宋体" w:hAnsi="宋体" w:hint="eastAsia"/>
            <w:color w:val="000000"/>
            <w:sz w:val="28"/>
            <w:szCs w:val="28"/>
          </w:rPr>
          <w:t>2011年3月17日</w:t>
        </w:r>
      </w:smartTag>
      <w:r w:rsidRPr="00EE774A">
        <w:rPr>
          <w:rFonts w:ascii="宋体" w:hAnsi="宋体" w:hint="eastAsia"/>
          <w:color w:val="000000"/>
          <w:sz w:val="28"/>
          <w:szCs w:val="28"/>
        </w:rPr>
        <w:t>正式成立。截至报告日，本产品规模为</w:t>
      </w:r>
      <w:r w:rsidRPr="00EE774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</w:t>
      </w:r>
      <w:r w:rsidRPr="00000D4B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5D1270">
        <w:rPr>
          <w:rFonts w:ascii="宋体" w:hAnsi="宋体" w:cs="宋体" w:hint="eastAsia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</w:t>
      </w:r>
      <w:r w:rsidRPr="00440482">
        <w:rPr>
          <w:rFonts w:ascii="宋体" w:hAnsi="宋体" w:cs="宋体" w:hint="eastAsia"/>
          <w:kern w:val="0"/>
          <w:sz w:val="24"/>
          <w:szCs w:val="24"/>
        </w:rPr>
        <w:t xml:space="preserve">     </w:t>
      </w:r>
      <w:r w:rsidRPr="005E4CAF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D91744">
        <w:rPr>
          <w:rFonts w:ascii="宋体" w:hAnsi="宋体" w:hint="eastAsia"/>
          <w:color w:val="000000"/>
          <w:sz w:val="28"/>
          <w:szCs w:val="28"/>
        </w:rPr>
        <w:t xml:space="preserve">   </w:t>
      </w:r>
      <w:r w:rsidR="0029512C" w:rsidRPr="0029512C">
        <w:rPr>
          <w:rFonts w:ascii="宋体" w:hAnsi="宋体"/>
          <w:sz w:val="28"/>
          <w:szCs w:val="28"/>
        </w:rPr>
        <w:t>146,992,057,347.83</w:t>
      </w:r>
      <w:r w:rsidRPr="00EE774A">
        <w:rPr>
          <w:rFonts w:ascii="宋体" w:hAnsi="宋体" w:hint="eastAsia"/>
          <w:color w:val="000000"/>
          <w:sz w:val="28"/>
          <w:szCs w:val="28"/>
        </w:rPr>
        <w:t>元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307E4F" w:rsidRPr="00EE774A" w:rsidRDefault="00307E4F" w:rsidP="00307E4F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307E4F" w:rsidRPr="009C7E87" w:rsidRDefault="00307E4F" w:rsidP="00307E4F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C7E87">
        <w:rPr>
          <w:rFonts w:ascii="宋体" w:hAnsi="宋体" w:hint="eastAsia"/>
          <w:color w:val="000000"/>
          <w:sz w:val="28"/>
          <w:szCs w:val="28"/>
        </w:rPr>
        <w:t>根据产品说明书的约定，</w:t>
      </w:r>
      <w:r>
        <w:rPr>
          <w:rFonts w:ascii="宋体" w:hAnsi="宋体" w:hint="eastAsia"/>
          <w:color w:val="000000"/>
          <w:sz w:val="28"/>
          <w:szCs w:val="28"/>
        </w:rPr>
        <w:t>2017</w:t>
      </w:r>
      <w:r w:rsidRPr="009C7E87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="007A1C5C">
        <w:rPr>
          <w:rFonts w:ascii="宋体" w:hAnsi="宋体" w:hint="eastAsia"/>
          <w:color w:val="000000"/>
          <w:sz w:val="28"/>
          <w:szCs w:val="28"/>
        </w:rPr>
        <w:t>2</w:t>
      </w:r>
      <w:r w:rsidRPr="009C7E87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9C7E87">
        <w:rPr>
          <w:rFonts w:ascii="宋体" w:hAnsi="宋体" w:hint="eastAsia"/>
          <w:color w:val="000000"/>
          <w:sz w:val="28"/>
          <w:szCs w:val="28"/>
        </w:rPr>
        <w:t>日至</w:t>
      </w:r>
      <w:r>
        <w:rPr>
          <w:rFonts w:ascii="宋体" w:hAnsi="宋体" w:hint="eastAsia"/>
          <w:color w:val="000000"/>
          <w:sz w:val="28"/>
          <w:szCs w:val="28"/>
        </w:rPr>
        <w:t>2017</w:t>
      </w:r>
      <w:r w:rsidRPr="009C7E87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="007A1C5C">
        <w:rPr>
          <w:rFonts w:ascii="宋体" w:hAnsi="宋体" w:hint="eastAsia"/>
          <w:color w:val="000000"/>
          <w:sz w:val="28"/>
          <w:szCs w:val="28"/>
        </w:rPr>
        <w:t>2</w:t>
      </w:r>
      <w:r w:rsidRPr="009C7E87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31</w:t>
      </w:r>
      <w:r w:rsidRPr="009C7E87">
        <w:rPr>
          <w:rFonts w:ascii="宋体" w:hAnsi="宋体" w:hint="eastAsia"/>
          <w:color w:val="000000"/>
          <w:sz w:val="28"/>
          <w:szCs w:val="28"/>
        </w:rPr>
        <w:t>日投资者实际收益率如下表所示：</w:t>
      </w:r>
    </w:p>
    <w:tbl>
      <w:tblPr>
        <w:tblW w:w="10361" w:type="dxa"/>
        <w:jc w:val="center"/>
        <w:tblInd w:w="-1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1054"/>
        <w:gridCol w:w="1134"/>
        <w:gridCol w:w="993"/>
        <w:gridCol w:w="1134"/>
        <w:gridCol w:w="1134"/>
        <w:gridCol w:w="1134"/>
        <w:gridCol w:w="1184"/>
        <w:gridCol w:w="919"/>
      </w:tblGrid>
      <w:tr w:rsidR="00307E4F" w:rsidRPr="009C7E87" w:rsidTr="008A717D">
        <w:trPr>
          <w:trHeight w:val="473"/>
          <w:jc w:val="center"/>
        </w:trPr>
        <w:tc>
          <w:tcPr>
            <w:tcW w:w="1675" w:type="dxa"/>
            <w:vAlign w:val="center"/>
          </w:tcPr>
          <w:p w:rsidR="00307E4F" w:rsidRPr="009C7E87" w:rsidRDefault="00307E4F" w:rsidP="008A71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E87">
              <w:rPr>
                <w:rFonts w:ascii="宋体" w:hAnsi="宋体" w:hint="eastAsia"/>
                <w:color w:val="000000"/>
                <w:szCs w:val="21"/>
              </w:rPr>
              <w:t>投资期</w:t>
            </w:r>
          </w:p>
        </w:tc>
        <w:tc>
          <w:tcPr>
            <w:tcW w:w="1054" w:type="dxa"/>
            <w:vAlign w:val="center"/>
          </w:tcPr>
          <w:p w:rsidR="00307E4F" w:rsidRPr="009C7E87" w:rsidRDefault="00307E4F" w:rsidP="008A717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1≤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T&lt;7</w:t>
            </w:r>
          </w:p>
        </w:tc>
        <w:tc>
          <w:tcPr>
            <w:tcW w:w="1134" w:type="dxa"/>
            <w:vAlign w:val="center"/>
          </w:tcPr>
          <w:p w:rsidR="00307E4F" w:rsidRPr="009C7E87" w:rsidRDefault="00307E4F" w:rsidP="008A717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T&lt;14</w:t>
            </w:r>
          </w:p>
        </w:tc>
        <w:tc>
          <w:tcPr>
            <w:tcW w:w="993" w:type="dxa"/>
            <w:vAlign w:val="center"/>
          </w:tcPr>
          <w:p w:rsidR="00307E4F" w:rsidRPr="009C7E87" w:rsidRDefault="00307E4F" w:rsidP="008A717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T&lt;30</w:t>
            </w:r>
          </w:p>
        </w:tc>
        <w:tc>
          <w:tcPr>
            <w:tcW w:w="1134" w:type="dxa"/>
            <w:vAlign w:val="center"/>
          </w:tcPr>
          <w:p w:rsidR="00307E4F" w:rsidRPr="009C7E87" w:rsidRDefault="00307E4F" w:rsidP="008A717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30≤T&lt;60</w:t>
            </w:r>
          </w:p>
        </w:tc>
        <w:tc>
          <w:tcPr>
            <w:tcW w:w="1134" w:type="dxa"/>
            <w:vAlign w:val="center"/>
          </w:tcPr>
          <w:p w:rsidR="00307E4F" w:rsidRPr="009C7E87" w:rsidRDefault="00307E4F" w:rsidP="008A717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60≤T&lt;90</w:t>
            </w:r>
          </w:p>
        </w:tc>
        <w:tc>
          <w:tcPr>
            <w:tcW w:w="1134" w:type="dxa"/>
            <w:vAlign w:val="center"/>
          </w:tcPr>
          <w:p w:rsidR="00307E4F" w:rsidRPr="009C7E87" w:rsidRDefault="00307E4F" w:rsidP="008A717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90≤T&lt;180</w:t>
            </w:r>
          </w:p>
        </w:tc>
        <w:tc>
          <w:tcPr>
            <w:tcW w:w="1184" w:type="dxa"/>
            <w:vAlign w:val="center"/>
          </w:tcPr>
          <w:p w:rsidR="00307E4F" w:rsidRPr="009C7E87" w:rsidRDefault="00307E4F" w:rsidP="008A717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180≤T&lt;365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4F" w:rsidRPr="009C7E87" w:rsidRDefault="00307E4F" w:rsidP="008A717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T≥365</w:t>
            </w:r>
          </w:p>
        </w:tc>
      </w:tr>
      <w:tr w:rsidR="00307E4F" w:rsidRPr="009C7E87" w:rsidTr="008A717D">
        <w:trPr>
          <w:trHeight w:val="778"/>
          <w:jc w:val="center"/>
        </w:trPr>
        <w:tc>
          <w:tcPr>
            <w:tcW w:w="1675" w:type="dxa"/>
            <w:vAlign w:val="center"/>
          </w:tcPr>
          <w:p w:rsidR="00307E4F" w:rsidRPr="009C7E87" w:rsidRDefault="00307E4F" w:rsidP="008A71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E87">
              <w:rPr>
                <w:rFonts w:ascii="宋体" w:hAnsi="宋体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1054" w:type="dxa"/>
            <w:vAlign w:val="center"/>
          </w:tcPr>
          <w:p w:rsidR="00307E4F" w:rsidRPr="009C7E87" w:rsidRDefault="00307E4F" w:rsidP="008A71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A209D3">
              <w:rPr>
                <w:rFonts w:ascii="宋体" w:hAnsi="宋体"/>
                <w:color w:val="000000"/>
                <w:szCs w:val="21"/>
              </w:rPr>
              <w:t>0%</w:t>
            </w:r>
          </w:p>
        </w:tc>
        <w:tc>
          <w:tcPr>
            <w:tcW w:w="1134" w:type="dxa"/>
            <w:vAlign w:val="center"/>
          </w:tcPr>
          <w:p w:rsidR="00307E4F" w:rsidRPr="009C7E87" w:rsidRDefault="00307E4F" w:rsidP="008A71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2.4</w:t>
            </w: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  <w:r w:rsidRPr="00A209D3">
              <w:rPr>
                <w:rFonts w:ascii="宋体" w:hAnsi="宋体"/>
                <w:color w:val="000000"/>
                <w:szCs w:val="21"/>
              </w:rPr>
              <w:t>%</w:t>
            </w:r>
          </w:p>
        </w:tc>
        <w:tc>
          <w:tcPr>
            <w:tcW w:w="993" w:type="dxa"/>
            <w:vAlign w:val="center"/>
          </w:tcPr>
          <w:p w:rsidR="00307E4F" w:rsidRPr="009C7E87" w:rsidRDefault="00307E4F" w:rsidP="008A71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2.50</w:t>
            </w: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:rsidR="00307E4F" w:rsidRPr="009C7E87" w:rsidRDefault="00307E4F" w:rsidP="008A71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3.00</w:t>
            </w:r>
            <w:r w:rsidRPr="00A209D3">
              <w:rPr>
                <w:rFonts w:ascii="宋体" w:hAnsi="宋体"/>
                <w:color w:val="00000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:rsidR="00307E4F" w:rsidRPr="009C7E87" w:rsidRDefault="00307E4F" w:rsidP="008A71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vAlign w:val="center"/>
          </w:tcPr>
          <w:p w:rsidR="00307E4F" w:rsidRPr="009C7E87" w:rsidRDefault="00307E4F" w:rsidP="008A71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84" w:type="dxa"/>
            <w:vAlign w:val="center"/>
          </w:tcPr>
          <w:p w:rsidR="00307E4F" w:rsidRPr="009C7E87" w:rsidRDefault="00307E4F" w:rsidP="008A71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4F" w:rsidRPr="009C7E87" w:rsidRDefault="00307E4F" w:rsidP="008A71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E87"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  <w:r w:rsidRPr="009C7E87"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</w:p>
        </w:tc>
      </w:tr>
    </w:tbl>
    <w:p w:rsidR="00307E4F" w:rsidRDefault="00307E4F" w:rsidP="00307E4F">
      <w:pPr>
        <w:spacing w:line="480" w:lineRule="exact"/>
        <w:rPr>
          <w:rFonts w:ascii="宋体" w:hAnsi="宋体"/>
          <w:color w:val="000000"/>
          <w:szCs w:val="21"/>
        </w:rPr>
      </w:pPr>
      <w:r w:rsidRPr="009C7E87">
        <w:rPr>
          <w:rFonts w:ascii="宋体" w:hAnsi="宋体" w:hint="eastAsia"/>
          <w:color w:val="000000"/>
          <w:szCs w:val="21"/>
        </w:rPr>
        <w:t>其中： T为投资期，单位：天</w:t>
      </w:r>
    </w:p>
    <w:p w:rsidR="00307E4F" w:rsidRPr="00EE774A" w:rsidRDefault="00307E4F" w:rsidP="00307E4F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307E4F" w:rsidRPr="00EE774A" w:rsidRDefault="00307E4F" w:rsidP="00307E4F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307E4F" w:rsidRPr="00EE774A" w:rsidRDefault="00307E4F" w:rsidP="00307E4F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307E4F" w:rsidRPr="00F7161F" w:rsidRDefault="0029512C" w:rsidP="00307E4F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19B7F1E" wp14:editId="5EB71483">
            <wp:extent cx="4095339" cy="2563881"/>
            <wp:effectExtent l="0" t="0" r="19685" b="27305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07E4F" w:rsidRPr="00EE774A" w:rsidRDefault="00307E4F" w:rsidP="00307E4F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lastRenderedPageBreak/>
        <w:t>（二）融资类资产的行内评级构成</w:t>
      </w:r>
    </w:p>
    <w:p w:rsidR="00307E4F" w:rsidRPr="0002419E" w:rsidRDefault="0029512C" w:rsidP="00307E4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DFB840D" wp14:editId="3B5F878A">
            <wp:extent cx="4114800" cy="1819275"/>
            <wp:effectExtent l="0" t="0" r="19050" b="9525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07E4F" w:rsidRDefault="00307E4F" w:rsidP="00307E4F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EE774A">
        <w:rPr>
          <w:rFonts w:ascii="宋体" w:hAnsi="宋体"/>
          <w:b/>
          <w:color w:val="000000"/>
          <w:sz w:val="28"/>
          <w:szCs w:val="28"/>
        </w:rPr>
        <w:t>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融资类资产的行业占</w:t>
      </w:r>
      <w:proofErr w:type="gramStart"/>
      <w:r w:rsidRPr="00EE774A">
        <w:rPr>
          <w:rFonts w:ascii="宋体" w:hAnsi="宋体" w:hint="eastAsia"/>
          <w:b/>
          <w:color w:val="000000"/>
          <w:sz w:val="28"/>
          <w:szCs w:val="28"/>
        </w:rPr>
        <w:t>比构成</w:t>
      </w:r>
      <w:proofErr w:type="gramEnd"/>
      <w:r w:rsidRPr="00EE774A">
        <w:rPr>
          <w:rFonts w:ascii="宋体" w:hAnsi="宋体" w:hint="eastAsia"/>
          <w:b/>
          <w:color w:val="000000"/>
          <w:sz w:val="28"/>
          <w:szCs w:val="28"/>
        </w:rPr>
        <w:t>及当月增减变化情况</w:t>
      </w:r>
    </w:p>
    <w:p w:rsidR="00307E4F" w:rsidRPr="00C82729" w:rsidRDefault="0029512C" w:rsidP="00307E4F">
      <w:pPr>
        <w:ind w:right="560"/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3E5E433" wp14:editId="4226A80B">
            <wp:extent cx="5274310" cy="3629751"/>
            <wp:effectExtent l="0" t="0" r="21590" b="27940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07E4F" w:rsidRPr="00EE774A" w:rsidRDefault="00307E4F" w:rsidP="00307E4F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（四）投资类资产的行业占</w:t>
      </w:r>
      <w:proofErr w:type="gramStart"/>
      <w:r w:rsidRPr="00EE774A">
        <w:rPr>
          <w:rFonts w:ascii="宋体" w:hAnsi="宋体" w:hint="eastAsia"/>
          <w:b/>
          <w:color w:val="000000"/>
          <w:sz w:val="28"/>
          <w:szCs w:val="28"/>
        </w:rPr>
        <w:t>比构成</w:t>
      </w:r>
      <w:proofErr w:type="gramEnd"/>
      <w:r w:rsidRPr="00EE774A">
        <w:rPr>
          <w:rFonts w:ascii="宋体" w:hAnsi="宋体" w:hint="eastAsia"/>
          <w:b/>
          <w:color w:val="000000"/>
          <w:sz w:val="28"/>
          <w:szCs w:val="28"/>
        </w:rPr>
        <w:t>及当月增减变化情况</w:t>
      </w:r>
    </w:p>
    <w:p w:rsidR="00307E4F" w:rsidRPr="00EE774A" w:rsidRDefault="00307E4F" w:rsidP="00307E4F">
      <w:pPr>
        <w:jc w:val="center"/>
        <w:rPr>
          <w:color w:val="000000"/>
        </w:rPr>
      </w:pPr>
      <w:r>
        <w:rPr>
          <w:rFonts w:hint="eastAsia"/>
          <w:noProof/>
        </w:rPr>
        <w:t xml:space="preserve"> </w:t>
      </w:r>
      <w:r w:rsidR="0029512C">
        <w:rPr>
          <w:noProof/>
        </w:rPr>
        <w:lastRenderedPageBreak/>
        <w:drawing>
          <wp:inline distT="0" distB="0" distL="0" distR="0" wp14:anchorId="284236BE" wp14:editId="43375A64">
            <wp:extent cx="5274310" cy="2178095"/>
            <wp:effectExtent l="0" t="0" r="21590" b="1270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07E4F" w:rsidRPr="00EE774A" w:rsidRDefault="00307E4F" w:rsidP="00307E4F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、产品整体运作情况</w:t>
      </w:r>
    </w:p>
    <w:p w:rsidR="00307E4F" w:rsidRPr="00EE774A" w:rsidRDefault="00307E4F" w:rsidP="00307E4F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307E4F" w:rsidRPr="00EE774A" w:rsidRDefault="00307E4F" w:rsidP="00307E4F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（2）截至本报告日，个别项目未能正常完全还本付息，但不影响按预期收益兑付客户。</w:t>
      </w:r>
    </w:p>
    <w:p w:rsidR="00307E4F" w:rsidRPr="00EE774A" w:rsidRDefault="00307E4F" w:rsidP="00307E4F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 xml:space="preserve">（3）本产品自成立至本报告日，没有发生涉诉及诉讼等损害投资者利益的情形。                             </w:t>
      </w:r>
    </w:p>
    <w:p w:rsidR="00307E4F" w:rsidRPr="00EE774A" w:rsidRDefault="00307E4F" w:rsidP="00307E4F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 xml:space="preserve">         </w:t>
      </w:r>
      <w:r>
        <w:rPr>
          <w:rFonts w:ascii="宋体" w:hAnsi="宋体" w:hint="eastAsia"/>
          <w:color w:val="000000"/>
          <w:sz w:val="28"/>
          <w:szCs w:val="28"/>
        </w:rPr>
        <w:t xml:space="preserve">                               </w:t>
      </w: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307E4F" w:rsidRDefault="00307E4F" w:rsidP="00307E4F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</w:t>
      </w:r>
      <w:r w:rsidR="007A1C5C">
        <w:rPr>
          <w:rFonts w:ascii="宋体" w:hAnsi="宋体" w:hint="eastAsia"/>
          <w:color w:val="000000"/>
          <w:sz w:val="28"/>
          <w:szCs w:val="28"/>
        </w:rPr>
        <w:t>8</w:t>
      </w:r>
      <w:r>
        <w:rPr>
          <w:rFonts w:ascii="宋体" w:hAnsi="宋体" w:hint="eastAsia"/>
          <w:color w:val="000000"/>
          <w:sz w:val="28"/>
          <w:szCs w:val="28"/>
        </w:rPr>
        <w:t>年1月</w:t>
      </w:r>
      <w:r w:rsidR="007A1C5C">
        <w:rPr>
          <w:rFonts w:ascii="宋体" w:hAnsi="宋体" w:hint="eastAsia"/>
          <w:color w:val="000000"/>
          <w:sz w:val="28"/>
          <w:szCs w:val="28"/>
        </w:rPr>
        <w:t>8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p w:rsidR="0066201C" w:rsidRDefault="00484F87"/>
    <w:sectPr w:rsidR="00662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F87" w:rsidRDefault="00484F87" w:rsidP="00307E4F">
      <w:r>
        <w:separator/>
      </w:r>
    </w:p>
  </w:endnote>
  <w:endnote w:type="continuationSeparator" w:id="0">
    <w:p w:rsidR="00484F87" w:rsidRDefault="00484F87" w:rsidP="0030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F87" w:rsidRDefault="00484F87" w:rsidP="00307E4F">
      <w:r>
        <w:separator/>
      </w:r>
    </w:p>
  </w:footnote>
  <w:footnote w:type="continuationSeparator" w:id="0">
    <w:p w:rsidR="00484F87" w:rsidRDefault="00484F87" w:rsidP="00307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17"/>
    <w:rsid w:val="00153C80"/>
    <w:rsid w:val="0029512C"/>
    <w:rsid w:val="002A3EA5"/>
    <w:rsid w:val="00307E4F"/>
    <w:rsid w:val="00484F87"/>
    <w:rsid w:val="006967C1"/>
    <w:rsid w:val="00735A6A"/>
    <w:rsid w:val="007A1C5C"/>
    <w:rsid w:val="00936045"/>
    <w:rsid w:val="00A66F45"/>
    <w:rsid w:val="00FB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E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E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E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7E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7E4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E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E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E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7E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7E4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1488;&#36134;&#23703;\&#24320;&#25918;&#24335;&#25259;&#38706;\2017\12&#26376;\12&#26376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1488;&#36134;&#23703;\&#24320;&#25918;&#24335;&#25259;&#38706;\2017\12&#26376;\12&#26376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1488;&#36134;&#23703;\&#24320;&#25918;&#24335;&#25259;&#38706;\2017\12&#26376;\12&#26376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1488;&#36134;&#23703;\&#24320;&#25918;&#24335;&#25259;&#38706;\2017\12&#26376;\12&#26376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63212871944521"/>
          <c:y val="0.10285646898318573"/>
          <c:w val="0.54533160446053575"/>
          <c:h val="0.7763507162886758"/>
        </c:manualLayout>
      </c:layout>
      <c:pie3D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'17年12月'!$A$57:$A$59</c:f>
              <c:strCache>
                <c:ptCount val="3"/>
                <c:pt idx="0">
                  <c:v>现金及债券类</c:v>
                </c:pt>
                <c:pt idx="1">
                  <c:v>融资类</c:v>
                </c:pt>
                <c:pt idx="2">
                  <c:v>投资类及其他</c:v>
                </c:pt>
              </c:strCache>
            </c:strRef>
          </c:cat>
          <c:val>
            <c:numRef>
              <c:f>'17年12月'!$B$57:$B$59</c:f>
              <c:numCache>
                <c:formatCode>0.00%</c:formatCode>
                <c:ptCount val="3"/>
                <c:pt idx="0">
                  <c:v>0.1593232238375413</c:v>
                </c:pt>
                <c:pt idx="1">
                  <c:v>9.2122302079815963E-2</c:v>
                </c:pt>
                <c:pt idx="2">
                  <c:v>0.7485544740829686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414499323948968E-2"/>
          <c:y val="0.12749954992088083"/>
          <c:w val="0.62449790998347465"/>
          <c:h val="0.76554785129471326"/>
        </c:manualLayout>
      </c:layout>
      <c:pie3DChart>
        <c:varyColors val="1"/>
        <c:ser>
          <c:idx val="0"/>
          <c:order val="0"/>
          <c:tx>
            <c:strRef>
              <c:f>'17年12月'!$B$63</c:f>
              <c:strCache>
                <c:ptCount val="1"/>
                <c:pt idx="0">
                  <c:v>占比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'17年12月'!$A$64:$A$68</c:f>
              <c:strCache>
                <c:ptCount val="5"/>
                <c:pt idx="0">
                  <c:v>AAA</c:v>
                </c:pt>
                <c:pt idx="1">
                  <c:v>AA+</c:v>
                </c:pt>
                <c:pt idx="2">
                  <c:v>AA</c:v>
                </c:pt>
                <c:pt idx="3">
                  <c:v>AA-及以下</c:v>
                </c:pt>
                <c:pt idx="4">
                  <c:v>未评级</c:v>
                </c:pt>
              </c:strCache>
            </c:strRef>
          </c:cat>
          <c:val>
            <c:numRef>
              <c:f>'17年12月'!$B$64:$B$68</c:f>
              <c:numCache>
                <c:formatCode>0.00%</c:formatCode>
                <c:ptCount val="5"/>
                <c:pt idx="0">
                  <c:v>2.5895409983442551E-2</c:v>
                </c:pt>
                <c:pt idx="1">
                  <c:v>0.1201158618380202</c:v>
                </c:pt>
                <c:pt idx="2">
                  <c:v>0.4369225754106536</c:v>
                </c:pt>
                <c:pt idx="3">
                  <c:v>0.39946371136906139</c:v>
                </c:pt>
                <c:pt idx="4">
                  <c:v>1.7602441398822277E-2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1852363117468665"/>
          <c:y val="0.11483088227231183"/>
          <c:w val="0.257759612109555"/>
          <c:h val="0.7314996349215440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'17年12月'!$B$72</c:f>
              <c:strCache>
                <c:ptCount val="1"/>
                <c:pt idx="0">
                  <c:v>12月各行业</c:v>
                </c:pt>
              </c:strCache>
            </c:strRef>
          </c:tx>
          <c:invertIfNegative val="0"/>
          <c:cat>
            <c:strRef>
              <c:f>'17年12月'!$A$73:$A$86</c:f>
              <c:strCache>
                <c:ptCount val="14"/>
                <c:pt idx="0">
                  <c:v>采矿业</c:v>
                </c:pt>
                <c:pt idx="1">
                  <c:v>电力、热力、燃气及水生产和供应业</c:v>
                </c:pt>
                <c:pt idx="2">
                  <c:v>房地产业</c:v>
                </c:pt>
                <c:pt idx="3">
                  <c:v>房地产业（保障房）</c:v>
                </c:pt>
                <c:pt idx="4">
                  <c:v>公共管理、社会保障和社会组织</c:v>
                </c:pt>
                <c:pt idx="5">
                  <c:v>建筑业</c:v>
                </c:pt>
                <c:pt idx="6">
                  <c:v>交通运输、仓储和邮政业</c:v>
                </c:pt>
                <c:pt idx="7">
                  <c:v>金融业</c:v>
                </c:pt>
                <c:pt idx="8">
                  <c:v>农、林、牧、渔业</c:v>
                </c:pt>
                <c:pt idx="9">
                  <c:v>批发和零售业</c:v>
                </c:pt>
                <c:pt idx="10">
                  <c:v>水利、环境和公共设施管理业</c:v>
                </c:pt>
                <c:pt idx="11">
                  <c:v>制造业</c:v>
                </c:pt>
                <c:pt idx="12">
                  <c:v>综合</c:v>
                </c:pt>
                <c:pt idx="13">
                  <c:v>租赁和商务服务业</c:v>
                </c:pt>
              </c:strCache>
            </c:strRef>
          </c:cat>
          <c:val>
            <c:numRef>
              <c:f>'17年12月'!$B$73:$B$86</c:f>
              <c:numCache>
                <c:formatCode>0.00%</c:formatCode>
                <c:ptCount val="14"/>
                <c:pt idx="0">
                  <c:v>0.23178910821515605</c:v>
                </c:pt>
                <c:pt idx="1">
                  <c:v>6.6339192729412359E-4</c:v>
                </c:pt>
                <c:pt idx="2">
                  <c:v>3.3169596364706184E-2</c:v>
                </c:pt>
                <c:pt idx="3">
                  <c:v>0</c:v>
                </c:pt>
                <c:pt idx="4">
                  <c:v>2.719906901905907E-2</c:v>
                </c:pt>
                <c:pt idx="5">
                  <c:v>2.3218717455294326E-3</c:v>
                </c:pt>
                <c:pt idx="6">
                  <c:v>3.7149947928470921E-2</c:v>
                </c:pt>
                <c:pt idx="7">
                  <c:v>5.1767695147913372E-2</c:v>
                </c:pt>
                <c:pt idx="8">
                  <c:v>0</c:v>
                </c:pt>
                <c:pt idx="9">
                  <c:v>0</c:v>
                </c:pt>
                <c:pt idx="10">
                  <c:v>8.3089652547459994E-2</c:v>
                </c:pt>
                <c:pt idx="11">
                  <c:v>0.30981296979390383</c:v>
                </c:pt>
                <c:pt idx="12">
                  <c:v>1.7911582036941338E-2</c:v>
                </c:pt>
                <c:pt idx="13">
                  <c:v>0.20512511527356572</c:v>
                </c:pt>
              </c:numCache>
            </c:numRef>
          </c:val>
        </c:ser>
        <c:ser>
          <c:idx val="1"/>
          <c:order val="1"/>
          <c:tx>
            <c:strRef>
              <c:f>'17年12月'!$C$72</c:f>
              <c:strCache>
                <c:ptCount val="1"/>
                <c:pt idx="0">
                  <c:v>11月各行业</c:v>
                </c:pt>
              </c:strCache>
            </c:strRef>
          </c:tx>
          <c:invertIfNegative val="0"/>
          <c:cat>
            <c:strRef>
              <c:f>'17年12月'!$A$73:$A$86</c:f>
              <c:strCache>
                <c:ptCount val="14"/>
                <c:pt idx="0">
                  <c:v>采矿业</c:v>
                </c:pt>
                <c:pt idx="1">
                  <c:v>电力、热力、燃气及水生产和供应业</c:v>
                </c:pt>
                <c:pt idx="2">
                  <c:v>房地产业</c:v>
                </c:pt>
                <c:pt idx="3">
                  <c:v>房地产业（保障房）</c:v>
                </c:pt>
                <c:pt idx="4">
                  <c:v>公共管理、社会保障和社会组织</c:v>
                </c:pt>
                <c:pt idx="5">
                  <c:v>建筑业</c:v>
                </c:pt>
                <c:pt idx="6">
                  <c:v>交通运输、仓储和邮政业</c:v>
                </c:pt>
                <c:pt idx="7">
                  <c:v>金融业</c:v>
                </c:pt>
                <c:pt idx="8">
                  <c:v>农、林、牧、渔业</c:v>
                </c:pt>
                <c:pt idx="9">
                  <c:v>批发和零售业</c:v>
                </c:pt>
                <c:pt idx="10">
                  <c:v>水利、环境和公共设施管理业</c:v>
                </c:pt>
                <c:pt idx="11">
                  <c:v>制造业</c:v>
                </c:pt>
                <c:pt idx="12">
                  <c:v>综合</c:v>
                </c:pt>
                <c:pt idx="13">
                  <c:v>租赁和商务服务业</c:v>
                </c:pt>
              </c:strCache>
            </c:strRef>
          </c:cat>
          <c:val>
            <c:numRef>
              <c:f>'17年12月'!$C$73:$C$86</c:f>
              <c:numCache>
                <c:formatCode>0.00%</c:formatCode>
                <c:ptCount val="14"/>
                <c:pt idx="0">
                  <c:v>0.27464241084188851</c:v>
                </c:pt>
                <c:pt idx="1">
                  <c:v>2.8712172826845656E-2</c:v>
                </c:pt>
                <c:pt idx="2">
                  <c:v>0.13339568493466181</c:v>
                </c:pt>
                <c:pt idx="3">
                  <c:v>2.6750471577806509E-2</c:v>
                </c:pt>
                <c:pt idx="4">
                  <c:v>0.15319995072609788</c:v>
                </c:pt>
                <c:pt idx="5">
                  <c:v>0</c:v>
                </c:pt>
                <c:pt idx="6">
                  <c:v>0</c:v>
                </c:pt>
                <c:pt idx="7">
                  <c:v>2.2202891409579404E-2</c:v>
                </c:pt>
                <c:pt idx="8">
                  <c:v>2.4521265612989302E-2</c:v>
                </c:pt>
                <c:pt idx="9">
                  <c:v>8.2339199871828736E-5</c:v>
                </c:pt>
                <c:pt idx="10">
                  <c:v>4.9451803422175755E-2</c:v>
                </c:pt>
                <c:pt idx="11">
                  <c:v>9.6313713827866632E-2</c:v>
                </c:pt>
                <c:pt idx="12">
                  <c:v>3.6558977823002228E-2</c:v>
                </c:pt>
                <c:pt idx="13">
                  <c:v>0.15416831779721449</c:v>
                </c:pt>
              </c:numCache>
            </c:numRef>
          </c:val>
        </c:ser>
        <c:ser>
          <c:idx val="2"/>
          <c:order val="2"/>
          <c:tx>
            <c:strRef>
              <c:f>'17年12月'!$D$72</c:f>
              <c:strCache>
                <c:ptCount val="1"/>
                <c:pt idx="0">
                  <c:v>行业变化</c:v>
                </c:pt>
              </c:strCache>
            </c:strRef>
          </c:tx>
          <c:invertIfNegative val="0"/>
          <c:cat>
            <c:strRef>
              <c:f>'17年12月'!$A$73:$A$86</c:f>
              <c:strCache>
                <c:ptCount val="14"/>
                <c:pt idx="0">
                  <c:v>采矿业</c:v>
                </c:pt>
                <c:pt idx="1">
                  <c:v>电力、热力、燃气及水生产和供应业</c:v>
                </c:pt>
                <c:pt idx="2">
                  <c:v>房地产业</c:v>
                </c:pt>
                <c:pt idx="3">
                  <c:v>房地产业（保障房）</c:v>
                </c:pt>
                <c:pt idx="4">
                  <c:v>公共管理、社会保障和社会组织</c:v>
                </c:pt>
                <c:pt idx="5">
                  <c:v>建筑业</c:v>
                </c:pt>
                <c:pt idx="6">
                  <c:v>交通运输、仓储和邮政业</c:v>
                </c:pt>
                <c:pt idx="7">
                  <c:v>金融业</c:v>
                </c:pt>
                <c:pt idx="8">
                  <c:v>农、林、牧、渔业</c:v>
                </c:pt>
                <c:pt idx="9">
                  <c:v>批发和零售业</c:v>
                </c:pt>
                <c:pt idx="10">
                  <c:v>水利、环境和公共设施管理业</c:v>
                </c:pt>
                <c:pt idx="11">
                  <c:v>制造业</c:v>
                </c:pt>
                <c:pt idx="12">
                  <c:v>综合</c:v>
                </c:pt>
                <c:pt idx="13">
                  <c:v>租赁和商务服务业</c:v>
                </c:pt>
              </c:strCache>
            </c:strRef>
          </c:cat>
          <c:val>
            <c:numRef>
              <c:f>'17年12月'!$D$73:$D$86</c:f>
              <c:numCache>
                <c:formatCode>0.00%</c:formatCode>
                <c:ptCount val="14"/>
                <c:pt idx="0">
                  <c:v>-4.2853302626732453E-2</c:v>
                </c:pt>
                <c:pt idx="1">
                  <c:v>-2.8048780899551533E-2</c:v>
                </c:pt>
                <c:pt idx="2">
                  <c:v>-0.10022608856995563</c:v>
                </c:pt>
                <c:pt idx="3">
                  <c:v>-2.6750471577806509E-2</c:v>
                </c:pt>
                <c:pt idx="4">
                  <c:v>-0.1260008817070388</c:v>
                </c:pt>
                <c:pt idx="5">
                  <c:v>2.3218717455294326E-3</c:v>
                </c:pt>
                <c:pt idx="6">
                  <c:v>3.7149947928470921E-2</c:v>
                </c:pt>
                <c:pt idx="7">
                  <c:v>2.9564803738333967E-2</c:v>
                </c:pt>
                <c:pt idx="8">
                  <c:v>-2.4521265612989302E-2</c:v>
                </c:pt>
                <c:pt idx="9">
                  <c:v>-8.2339199871828736E-5</c:v>
                </c:pt>
                <c:pt idx="10">
                  <c:v>3.3637849125284239E-2</c:v>
                </c:pt>
                <c:pt idx="11">
                  <c:v>0.21349925596603719</c:v>
                </c:pt>
                <c:pt idx="12">
                  <c:v>-1.8647395786060891E-2</c:v>
                </c:pt>
                <c:pt idx="13">
                  <c:v>5.0956797476351234E-2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226688"/>
        <c:axId val="116232576"/>
      </c:barChart>
      <c:catAx>
        <c:axId val="1162266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6232576"/>
        <c:crosses val="autoZero"/>
        <c:auto val="1"/>
        <c:lblAlgn val="ctr"/>
        <c:lblOffset val="100"/>
        <c:noMultiLvlLbl val="0"/>
      </c:catAx>
      <c:valAx>
        <c:axId val="116232576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116226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'17年12月'!$B$90</c:f>
              <c:strCache>
                <c:ptCount val="1"/>
                <c:pt idx="0">
                  <c:v>12月各行业</c:v>
                </c:pt>
              </c:strCache>
            </c:strRef>
          </c:tx>
          <c:invertIfNegative val="0"/>
          <c:cat>
            <c:strRef>
              <c:f>'17年12月'!$A$91:$A$100</c:f>
              <c:strCache>
                <c:ptCount val="10"/>
                <c:pt idx="0">
                  <c:v>采矿业</c:v>
                </c:pt>
                <c:pt idx="1">
                  <c:v>交通运输、仓储和邮政业</c:v>
                </c:pt>
                <c:pt idx="2">
                  <c:v>金融业</c:v>
                </c:pt>
                <c:pt idx="3">
                  <c:v>租赁和商务服务业</c:v>
                </c:pt>
                <c:pt idx="4">
                  <c:v>电力、热力、燃气及水生产和供应业</c:v>
                </c:pt>
                <c:pt idx="5">
                  <c:v>建筑业</c:v>
                </c:pt>
                <c:pt idx="6">
                  <c:v>制造业</c:v>
                </c:pt>
                <c:pt idx="7">
                  <c:v>农、林、牧、渔业</c:v>
                </c:pt>
                <c:pt idx="8">
                  <c:v>水利、环境和公共设施管理业</c:v>
                </c:pt>
                <c:pt idx="9">
                  <c:v>综合</c:v>
                </c:pt>
              </c:strCache>
            </c:strRef>
          </c:cat>
          <c:val>
            <c:numRef>
              <c:f>'17年12月'!$B$91:$B$100</c:f>
              <c:numCache>
                <c:formatCode>0.00%</c:formatCode>
                <c:ptCount val="10"/>
                <c:pt idx="0">
                  <c:v>1.8761655395859625E-2</c:v>
                </c:pt>
                <c:pt idx="1">
                  <c:v>9.4185017047488089E-3</c:v>
                </c:pt>
                <c:pt idx="2">
                  <c:v>0.34094976171190688</c:v>
                </c:pt>
                <c:pt idx="3">
                  <c:v>0.35053779644734118</c:v>
                </c:pt>
                <c:pt idx="4">
                  <c:v>7.5348013637990471E-3</c:v>
                </c:pt>
                <c:pt idx="5">
                  <c:v>1.8837003409497618E-2</c:v>
                </c:pt>
                <c:pt idx="6">
                  <c:v>7.3464313297040701E-2</c:v>
                </c:pt>
                <c:pt idx="7">
                  <c:v>6.9069012501491263E-3</c:v>
                </c:pt>
                <c:pt idx="8">
                  <c:v>9.7927301724841612E-2</c:v>
                </c:pt>
                <c:pt idx="9">
                  <c:v>7.5661963694815426E-2</c:v>
                </c:pt>
              </c:numCache>
            </c:numRef>
          </c:val>
        </c:ser>
        <c:ser>
          <c:idx val="1"/>
          <c:order val="1"/>
          <c:tx>
            <c:strRef>
              <c:f>'17年12月'!$C$90</c:f>
              <c:strCache>
                <c:ptCount val="1"/>
                <c:pt idx="0">
                  <c:v>11月各行业</c:v>
                </c:pt>
              </c:strCache>
            </c:strRef>
          </c:tx>
          <c:invertIfNegative val="0"/>
          <c:cat>
            <c:strRef>
              <c:f>'17年12月'!$A$91:$A$100</c:f>
              <c:strCache>
                <c:ptCount val="10"/>
                <c:pt idx="0">
                  <c:v>采矿业</c:v>
                </c:pt>
                <c:pt idx="1">
                  <c:v>交通运输、仓储和邮政业</c:v>
                </c:pt>
                <c:pt idx="2">
                  <c:v>金融业</c:v>
                </c:pt>
                <c:pt idx="3">
                  <c:v>租赁和商务服务业</c:v>
                </c:pt>
                <c:pt idx="4">
                  <c:v>电力、热力、燃气及水生产和供应业</c:v>
                </c:pt>
                <c:pt idx="5">
                  <c:v>建筑业</c:v>
                </c:pt>
                <c:pt idx="6">
                  <c:v>制造业</c:v>
                </c:pt>
                <c:pt idx="7">
                  <c:v>农、林、牧、渔业</c:v>
                </c:pt>
                <c:pt idx="8">
                  <c:v>水利、环境和公共设施管理业</c:v>
                </c:pt>
                <c:pt idx="9">
                  <c:v>综合</c:v>
                </c:pt>
              </c:strCache>
            </c:strRef>
          </c:cat>
          <c:val>
            <c:numRef>
              <c:f>'17年12月'!$C$91:$C$100</c:f>
              <c:numCache>
                <c:formatCode>0.00%</c:formatCode>
                <c:ptCount val="10"/>
                <c:pt idx="0">
                  <c:v>4.2900000000000001E-2</c:v>
                </c:pt>
                <c:pt idx="1">
                  <c:v>2.1600000000000001E-2</c:v>
                </c:pt>
                <c:pt idx="2">
                  <c:v>0.78059999999999996</c:v>
                </c:pt>
                <c:pt idx="3">
                  <c:v>1.0500000000000001E-2</c:v>
                </c:pt>
                <c:pt idx="4">
                  <c:v>0</c:v>
                </c:pt>
                <c:pt idx="5">
                  <c:v>0</c:v>
                </c:pt>
                <c:pt idx="6">
                  <c:v>0.14369999999999999</c:v>
                </c:pt>
                <c:pt idx="7">
                  <c:v>0</c:v>
                </c:pt>
                <c:pt idx="8">
                  <c:v>1E-4</c:v>
                </c:pt>
                <c:pt idx="9">
                  <c:v>5.9999999999999995E-4</c:v>
                </c:pt>
              </c:numCache>
            </c:numRef>
          </c:val>
        </c:ser>
        <c:ser>
          <c:idx val="2"/>
          <c:order val="2"/>
          <c:tx>
            <c:strRef>
              <c:f>'17年12月'!$D$90</c:f>
              <c:strCache>
                <c:ptCount val="1"/>
                <c:pt idx="0">
                  <c:v>行业变化</c:v>
                </c:pt>
              </c:strCache>
            </c:strRef>
          </c:tx>
          <c:invertIfNegative val="0"/>
          <c:cat>
            <c:strRef>
              <c:f>'17年12月'!$A$91:$A$100</c:f>
              <c:strCache>
                <c:ptCount val="10"/>
                <c:pt idx="0">
                  <c:v>采矿业</c:v>
                </c:pt>
                <c:pt idx="1">
                  <c:v>交通运输、仓储和邮政业</c:v>
                </c:pt>
                <c:pt idx="2">
                  <c:v>金融业</c:v>
                </c:pt>
                <c:pt idx="3">
                  <c:v>租赁和商务服务业</c:v>
                </c:pt>
                <c:pt idx="4">
                  <c:v>电力、热力、燃气及水生产和供应业</c:v>
                </c:pt>
                <c:pt idx="5">
                  <c:v>建筑业</c:v>
                </c:pt>
                <c:pt idx="6">
                  <c:v>制造业</c:v>
                </c:pt>
                <c:pt idx="7">
                  <c:v>农、林、牧、渔业</c:v>
                </c:pt>
                <c:pt idx="8">
                  <c:v>水利、环境和公共设施管理业</c:v>
                </c:pt>
                <c:pt idx="9">
                  <c:v>综合</c:v>
                </c:pt>
              </c:strCache>
            </c:strRef>
          </c:cat>
          <c:val>
            <c:numRef>
              <c:f>'17年12月'!$D$91:$D$100</c:f>
              <c:numCache>
                <c:formatCode>0.00%</c:formatCode>
                <c:ptCount val="10"/>
                <c:pt idx="0">
                  <c:v>-2.4138344604140376E-2</c:v>
                </c:pt>
                <c:pt idx="1">
                  <c:v>-1.2181498295251192E-2</c:v>
                </c:pt>
                <c:pt idx="2">
                  <c:v>-0.43965023828809308</c:v>
                </c:pt>
                <c:pt idx="3">
                  <c:v>0.34003779644734117</c:v>
                </c:pt>
                <c:pt idx="4">
                  <c:v>7.5348013637990471E-3</c:v>
                </c:pt>
                <c:pt idx="5">
                  <c:v>1.8837003409497618E-2</c:v>
                </c:pt>
                <c:pt idx="6">
                  <c:v>-7.0235686702959294E-2</c:v>
                </c:pt>
                <c:pt idx="7">
                  <c:v>6.9069012501491263E-3</c:v>
                </c:pt>
                <c:pt idx="8">
                  <c:v>9.7827301724841609E-2</c:v>
                </c:pt>
                <c:pt idx="9">
                  <c:v>7.5061963694815423E-2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258304"/>
        <c:axId val="116259840"/>
      </c:barChart>
      <c:catAx>
        <c:axId val="1162583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16259840"/>
        <c:crosses val="autoZero"/>
        <c:auto val="1"/>
        <c:lblAlgn val="ctr"/>
        <c:lblOffset val="100"/>
        <c:noMultiLvlLbl val="0"/>
      </c:catAx>
      <c:valAx>
        <c:axId val="116259840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116258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杨雯玥</dc:creator>
  <cp:keywords/>
  <dc:description/>
  <cp:lastModifiedBy>admin</cp:lastModifiedBy>
  <cp:revision>6</cp:revision>
  <dcterms:created xsi:type="dcterms:W3CDTF">2017-11-09T01:39:00Z</dcterms:created>
  <dcterms:modified xsi:type="dcterms:W3CDTF">2018-01-08T06:28:00Z</dcterms:modified>
</cp:coreProperties>
</file>