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370" w:rsidRPr="00EE774A" w:rsidRDefault="00405366" w:rsidP="00834370">
      <w:pPr>
        <w:jc w:val="center"/>
        <w:rPr>
          <w:b/>
          <w:color w:val="000000"/>
          <w:sz w:val="32"/>
          <w:szCs w:val="32"/>
        </w:rPr>
      </w:pPr>
      <w:bookmarkStart w:id="0" w:name="_GoBack"/>
      <w:bookmarkEnd w:id="0"/>
      <w:r w:rsidRPr="00EE774A">
        <w:rPr>
          <w:rFonts w:hint="eastAsia"/>
          <w:b/>
          <w:color w:val="000000"/>
          <w:sz w:val="32"/>
          <w:szCs w:val="32"/>
        </w:rPr>
        <w:t xml:space="preserve"> </w:t>
      </w:r>
      <w:r w:rsidR="00834370" w:rsidRPr="00EE774A">
        <w:rPr>
          <w:rFonts w:hint="eastAsia"/>
          <w:b/>
          <w:color w:val="000000"/>
          <w:sz w:val="32"/>
          <w:szCs w:val="32"/>
        </w:rPr>
        <w:t>“乾元—日日鑫高”（按日）开放式资产组合型人民币理财产品月度投资管理报告</w:t>
      </w:r>
    </w:p>
    <w:p w:rsidR="00834370" w:rsidRPr="00EE774A" w:rsidRDefault="00834370" w:rsidP="00834370">
      <w:pPr>
        <w:spacing w:line="480" w:lineRule="exact"/>
        <w:ind w:firstLineChars="200" w:firstLine="420"/>
        <w:jc w:val="center"/>
        <w:rPr>
          <w:rFonts w:ascii="宋体" w:hAnsi="宋体"/>
          <w:color w:val="000000"/>
          <w:szCs w:val="21"/>
        </w:rPr>
      </w:pPr>
      <w:r w:rsidRPr="00EE774A">
        <w:rPr>
          <w:rFonts w:ascii="宋体" w:hAnsi="宋体" w:hint="eastAsia"/>
          <w:color w:val="000000"/>
          <w:szCs w:val="21"/>
        </w:rPr>
        <w:t>报告日：201</w:t>
      </w:r>
      <w:r>
        <w:rPr>
          <w:rFonts w:ascii="宋体" w:hAnsi="宋体" w:hint="eastAsia"/>
          <w:color w:val="000000"/>
          <w:szCs w:val="21"/>
        </w:rPr>
        <w:t>7</w:t>
      </w:r>
      <w:r w:rsidRPr="00EE774A">
        <w:rPr>
          <w:rFonts w:ascii="宋体" w:hAnsi="宋体" w:hint="eastAsia"/>
          <w:color w:val="000000"/>
          <w:szCs w:val="21"/>
        </w:rPr>
        <w:t>年</w:t>
      </w:r>
      <w:r>
        <w:rPr>
          <w:rFonts w:ascii="宋体" w:hAnsi="宋体" w:hint="eastAsia"/>
          <w:color w:val="000000"/>
          <w:szCs w:val="21"/>
        </w:rPr>
        <w:t>1</w:t>
      </w:r>
      <w:r w:rsidR="00BA3F60">
        <w:rPr>
          <w:rFonts w:ascii="宋体" w:hAnsi="宋体" w:hint="eastAsia"/>
          <w:color w:val="000000"/>
          <w:szCs w:val="21"/>
        </w:rPr>
        <w:t>2</w:t>
      </w:r>
      <w:r>
        <w:rPr>
          <w:rFonts w:ascii="宋体" w:hAnsi="宋体" w:hint="eastAsia"/>
          <w:color w:val="000000"/>
          <w:szCs w:val="21"/>
        </w:rPr>
        <w:t xml:space="preserve">月31日    </w:t>
      </w:r>
    </w:p>
    <w:p w:rsidR="00834370" w:rsidRPr="00EE774A" w:rsidRDefault="00834370" w:rsidP="00834370">
      <w:pPr>
        <w:ind w:firstLineChars="200" w:firstLine="560"/>
        <w:rPr>
          <w:rFonts w:ascii="宋体" w:hAnsi="宋体" w:cs="宋体"/>
          <w:bCs/>
          <w:color w:val="000000"/>
          <w:kern w:val="0"/>
          <w:sz w:val="28"/>
          <w:szCs w:val="28"/>
        </w:rPr>
      </w:pPr>
      <w:r w:rsidRPr="00EE774A">
        <w:rPr>
          <w:rFonts w:ascii="宋体" w:hAnsi="宋体" w:hint="eastAsia"/>
          <w:color w:val="000000"/>
          <w:sz w:val="28"/>
          <w:szCs w:val="28"/>
        </w:rPr>
        <w:t>“乾元-日日鑫高”（按日）开放式资产组合型人民币理财产品于2011年4月28日正式成立。截至报告日，本产品规模为</w:t>
      </w:r>
      <w:r w:rsidRPr="00EE774A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 xml:space="preserve">               </w:t>
      </w:r>
      <w:r w:rsidRPr="00000D4B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 xml:space="preserve">   </w:t>
      </w:r>
      <w:r w:rsidRPr="0005385D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 xml:space="preserve">    </w:t>
      </w:r>
      <w:r w:rsidRPr="005D1270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 xml:space="preserve">    </w:t>
      </w:r>
      <w:r w:rsidRPr="00AC15F3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 xml:space="preserve">   </w:t>
      </w:r>
      <w:r w:rsidRPr="00CF768F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 xml:space="preserve">    </w:t>
      </w:r>
      <w:r w:rsidRPr="0035334D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 xml:space="preserve">    </w:t>
      </w:r>
      <w:r w:rsidRPr="00162740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 xml:space="preserve">    </w:t>
      </w:r>
      <w:r w:rsidR="00B105E3" w:rsidRPr="00B105E3">
        <w:rPr>
          <w:rFonts w:ascii="宋体" w:hAnsi="宋体" w:cs="宋体"/>
          <w:bCs/>
          <w:kern w:val="0"/>
          <w:sz w:val="28"/>
          <w:szCs w:val="28"/>
        </w:rPr>
        <w:t>17,986,502,515.63</w:t>
      </w: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 xml:space="preserve">元。  </w:t>
      </w:r>
    </w:p>
    <w:p w:rsidR="00834370" w:rsidRPr="00EE774A" w:rsidRDefault="00834370" w:rsidP="00834370">
      <w:pPr>
        <w:ind w:firstLineChars="200" w:firstLine="562"/>
        <w:outlineLvl w:val="0"/>
        <w:rPr>
          <w:rFonts w:ascii="宋体" w:hAnsi="宋体"/>
          <w:b/>
          <w:color w:val="000000"/>
          <w:sz w:val="28"/>
          <w:szCs w:val="28"/>
        </w:rPr>
      </w:pPr>
      <w:r w:rsidRPr="00EE774A">
        <w:rPr>
          <w:rFonts w:ascii="宋体" w:hAnsi="宋体" w:hint="eastAsia"/>
          <w:b/>
          <w:color w:val="000000"/>
          <w:sz w:val="28"/>
          <w:szCs w:val="28"/>
        </w:rPr>
        <w:t>一、报告期投资者实际收益率</w:t>
      </w:r>
    </w:p>
    <w:p w:rsidR="00834370" w:rsidRPr="000147C5" w:rsidRDefault="00834370" w:rsidP="00834370">
      <w:pPr>
        <w:ind w:firstLineChars="200" w:firstLine="560"/>
        <w:jc w:val="left"/>
        <w:rPr>
          <w:rFonts w:ascii="宋体" w:hAnsi="宋体"/>
          <w:color w:val="000000"/>
          <w:sz w:val="28"/>
          <w:szCs w:val="28"/>
        </w:rPr>
      </w:pPr>
      <w:r w:rsidRPr="000147C5">
        <w:rPr>
          <w:rFonts w:ascii="宋体" w:hAnsi="宋体" w:hint="eastAsia"/>
          <w:color w:val="000000"/>
          <w:sz w:val="28"/>
          <w:szCs w:val="28"/>
        </w:rPr>
        <w:t>根据产品说明书的约定，2017年</w:t>
      </w:r>
      <w:r>
        <w:rPr>
          <w:rFonts w:ascii="宋体" w:hAnsi="宋体" w:hint="eastAsia"/>
          <w:color w:val="000000"/>
          <w:sz w:val="28"/>
          <w:szCs w:val="28"/>
        </w:rPr>
        <w:t>1</w:t>
      </w:r>
      <w:r w:rsidR="00BA3F60">
        <w:rPr>
          <w:rFonts w:ascii="宋体" w:hAnsi="宋体" w:hint="eastAsia"/>
          <w:color w:val="000000"/>
          <w:sz w:val="28"/>
          <w:szCs w:val="28"/>
        </w:rPr>
        <w:t>2</w:t>
      </w:r>
      <w:r w:rsidRPr="000147C5">
        <w:rPr>
          <w:rFonts w:ascii="宋体" w:hAnsi="宋体" w:hint="eastAsia"/>
          <w:color w:val="000000"/>
          <w:sz w:val="28"/>
          <w:szCs w:val="28"/>
        </w:rPr>
        <w:t>月</w:t>
      </w:r>
      <w:r>
        <w:rPr>
          <w:rFonts w:ascii="宋体" w:hAnsi="宋体" w:hint="eastAsia"/>
          <w:color w:val="000000"/>
          <w:sz w:val="28"/>
          <w:szCs w:val="28"/>
        </w:rPr>
        <w:t>1</w:t>
      </w:r>
      <w:r w:rsidRPr="000147C5">
        <w:rPr>
          <w:rFonts w:ascii="宋体" w:hAnsi="宋体" w:hint="eastAsia"/>
          <w:color w:val="000000"/>
          <w:sz w:val="28"/>
          <w:szCs w:val="28"/>
        </w:rPr>
        <w:t>日至2017年</w:t>
      </w:r>
      <w:r>
        <w:rPr>
          <w:rFonts w:ascii="宋体" w:hAnsi="宋体" w:hint="eastAsia"/>
          <w:color w:val="000000"/>
          <w:sz w:val="28"/>
          <w:szCs w:val="28"/>
        </w:rPr>
        <w:t>1</w:t>
      </w:r>
      <w:r w:rsidR="00BA3F60">
        <w:rPr>
          <w:rFonts w:ascii="宋体" w:hAnsi="宋体" w:hint="eastAsia"/>
          <w:color w:val="000000"/>
          <w:sz w:val="28"/>
          <w:szCs w:val="28"/>
        </w:rPr>
        <w:t>2</w:t>
      </w:r>
      <w:r w:rsidRPr="000147C5">
        <w:rPr>
          <w:rFonts w:ascii="宋体" w:hAnsi="宋体" w:hint="eastAsia"/>
          <w:color w:val="000000"/>
          <w:sz w:val="28"/>
          <w:szCs w:val="28"/>
        </w:rPr>
        <w:t>月</w:t>
      </w:r>
      <w:r>
        <w:rPr>
          <w:rFonts w:ascii="宋体" w:hAnsi="宋体" w:hint="eastAsia"/>
          <w:color w:val="000000"/>
          <w:sz w:val="28"/>
          <w:szCs w:val="28"/>
        </w:rPr>
        <w:t>31</w:t>
      </w:r>
      <w:r w:rsidRPr="000147C5">
        <w:rPr>
          <w:rFonts w:ascii="宋体" w:hAnsi="宋体" w:hint="eastAsia"/>
          <w:color w:val="000000"/>
          <w:sz w:val="28"/>
          <w:szCs w:val="28"/>
        </w:rPr>
        <w:t>日投资者实际收益率如下表所示：</w:t>
      </w:r>
    </w:p>
    <w:tbl>
      <w:tblPr>
        <w:tblW w:w="9734" w:type="dxa"/>
        <w:jc w:val="center"/>
        <w:tblInd w:w="-40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79"/>
        <w:gridCol w:w="1326"/>
        <w:gridCol w:w="1276"/>
        <w:gridCol w:w="1275"/>
        <w:gridCol w:w="1276"/>
        <w:gridCol w:w="1276"/>
        <w:gridCol w:w="1226"/>
      </w:tblGrid>
      <w:tr w:rsidR="00834370" w:rsidRPr="000147C5" w:rsidTr="008A717D">
        <w:trPr>
          <w:trHeight w:val="838"/>
          <w:jc w:val="center"/>
        </w:trPr>
        <w:tc>
          <w:tcPr>
            <w:tcW w:w="2079" w:type="dxa"/>
            <w:vAlign w:val="center"/>
          </w:tcPr>
          <w:p w:rsidR="00834370" w:rsidRPr="000147C5" w:rsidRDefault="00834370" w:rsidP="008A717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147C5">
              <w:rPr>
                <w:rFonts w:ascii="宋体" w:hAnsi="宋体" w:hint="eastAsia"/>
                <w:color w:val="000000"/>
                <w:szCs w:val="21"/>
              </w:rPr>
              <w:t>投资期</w:t>
            </w:r>
          </w:p>
        </w:tc>
        <w:tc>
          <w:tcPr>
            <w:tcW w:w="1326" w:type="dxa"/>
            <w:vAlign w:val="center"/>
          </w:tcPr>
          <w:p w:rsidR="00834370" w:rsidRPr="000147C5" w:rsidRDefault="00834370" w:rsidP="008A717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147C5">
              <w:rPr>
                <w:rFonts w:ascii="宋体" w:hAnsi="宋体" w:hint="eastAsia"/>
                <w:color w:val="000000"/>
                <w:szCs w:val="21"/>
              </w:rPr>
              <w:t>1≤T&lt;</w:t>
            </w:r>
            <w:r>
              <w:rPr>
                <w:rFonts w:ascii="宋体" w:hAnsi="宋体" w:hint="eastAsia"/>
                <w:color w:val="000000"/>
                <w:szCs w:val="21"/>
              </w:rPr>
              <w:t>7</w:t>
            </w:r>
          </w:p>
        </w:tc>
        <w:tc>
          <w:tcPr>
            <w:tcW w:w="1276" w:type="dxa"/>
            <w:vAlign w:val="center"/>
          </w:tcPr>
          <w:p w:rsidR="00834370" w:rsidRPr="000147C5" w:rsidRDefault="00834370" w:rsidP="008A717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7</w:t>
            </w:r>
            <w:r w:rsidRPr="000147C5">
              <w:rPr>
                <w:rFonts w:ascii="宋体" w:hAnsi="宋体" w:hint="eastAsia"/>
                <w:color w:val="000000"/>
                <w:szCs w:val="21"/>
              </w:rPr>
              <w:t>≤T&lt;14</w:t>
            </w:r>
          </w:p>
        </w:tc>
        <w:tc>
          <w:tcPr>
            <w:tcW w:w="1275" w:type="dxa"/>
            <w:vAlign w:val="center"/>
          </w:tcPr>
          <w:p w:rsidR="00834370" w:rsidRPr="000147C5" w:rsidRDefault="00834370" w:rsidP="008A717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147C5">
              <w:rPr>
                <w:rFonts w:ascii="宋体" w:hAnsi="宋体" w:hint="eastAsia"/>
                <w:color w:val="000000"/>
                <w:szCs w:val="21"/>
              </w:rPr>
              <w:t>14≤T&lt;30</w:t>
            </w:r>
          </w:p>
        </w:tc>
        <w:tc>
          <w:tcPr>
            <w:tcW w:w="1276" w:type="dxa"/>
            <w:vAlign w:val="center"/>
          </w:tcPr>
          <w:p w:rsidR="00834370" w:rsidRPr="000147C5" w:rsidRDefault="00834370" w:rsidP="008A717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147C5">
              <w:rPr>
                <w:rFonts w:ascii="宋体" w:hAnsi="宋体" w:hint="eastAsia"/>
                <w:color w:val="000000"/>
                <w:szCs w:val="21"/>
              </w:rPr>
              <w:t>30≤T&lt;</w:t>
            </w:r>
            <w:r>
              <w:rPr>
                <w:rFonts w:ascii="宋体" w:hAnsi="宋体" w:hint="eastAsia"/>
                <w:color w:val="000000"/>
                <w:szCs w:val="21"/>
              </w:rPr>
              <w:t>60</w:t>
            </w:r>
          </w:p>
        </w:tc>
        <w:tc>
          <w:tcPr>
            <w:tcW w:w="1276" w:type="dxa"/>
            <w:vAlign w:val="center"/>
          </w:tcPr>
          <w:p w:rsidR="00834370" w:rsidRPr="000147C5" w:rsidRDefault="00834370" w:rsidP="008A717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60</w:t>
            </w:r>
            <w:r w:rsidRPr="000147C5">
              <w:rPr>
                <w:rFonts w:ascii="宋体" w:hAnsi="宋体" w:hint="eastAsia"/>
                <w:color w:val="000000"/>
                <w:szCs w:val="21"/>
              </w:rPr>
              <w:t>≤T&lt;90</w:t>
            </w:r>
          </w:p>
        </w:tc>
        <w:tc>
          <w:tcPr>
            <w:tcW w:w="1226" w:type="dxa"/>
            <w:vAlign w:val="center"/>
          </w:tcPr>
          <w:p w:rsidR="00834370" w:rsidRPr="000147C5" w:rsidRDefault="00834370" w:rsidP="008A717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147C5">
              <w:rPr>
                <w:rFonts w:ascii="宋体" w:hAnsi="宋体" w:hint="eastAsia"/>
                <w:color w:val="000000"/>
                <w:szCs w:val="21"/>
              </w:rPr>
              <w:t>T≥90</w:t>
            </w:r>
          </w:p>
        </w:tc>
      </w:tr>
      <w:tr w:rsidR="00834370" w:rsidRPr="000147C5" w:rsidTr="008A717D">
        <w:trPr>
          <w:trHeight w:val="838"/>
          <w:jc w:val="center"/>
        </w:trPr>
        <w:tc>
          <w:tcPr>
            <w:tcW w:w="2079" w:type="dxa"/>
            <w:vAlign w:val="center"/>
          </w:tcPr>
          <w:p w:rsidR="00834370" w:rsidRPr="000147C5" w:rsidRDefault="00834370" w:rsidP="008A717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147C5">
              <w:rPr>
                <w:rFonts w:ascii="宋体" w:hAnsi="宋体" w:hint="eastAsia"/>
                <w:color w:val="000000"/>
                <w:szCs w:val="21"/>
              </w:rPr>
              <w:t>投资者实际收益率</w:t>
            </w:r>
          </w:p>
        </w:tc>
        <w:tc>
          <w:tcPr>
            <w:tcW w:w="1326" w:type="dxa"/>
            <w:vAlign w:val="center"/>
          </w:tcPr>
          <w:p w:rsidR="00834370" w:rsidRPr="000147C5" w:rsidRDefault="00834370" w:rsidP="008A717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147C5">
              <w:rPr>
                <w:rFonts w:ascii="宋体" w:hAnsi="宋体"/>
                <w:color w:val="000000"/>
                <w:szCs w:val="21"/>
              </w:rPr>
              <w:t>1.90%</w:t>
            </w:r>
          </w:p>
        </w:tc>
        <w:tc>
          <w:tcPr>
            <w:tcW w:w="1276" w:type="dxa"/>
            <w:vAlign w:val="center"/>
          </w:tcPr>
          <w:p w:rsidR="00834370" w:rsidRPr="000147C5" w:rsidRDefault="00834370" w:rsidP="008A717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2.00</w:t>
            </w:r>
            <w:r w:rsidRPr="000147C5">
              <w:rPr>
                <w:rFonts w:ascii="宋体" w:hAnsi="宋体"/>
                <w:color w:val="000000"/>
                <w:szCs w:val="21"/>
              </w:rPr>
              <w:t>%</w:t>
            </w:r>
          </w:p>
        </w:tc>
        <w:tc>
          <w:tcPr>
            <w:tcW w:w="1275" w:type="dxa"/>
            <w:vAlign w:val="center"/>
          </w:tcPr>
          <w:p w:rsidR="00834370" w:rsidRPr="000147C5" w:rsidRDefault="00834370" w:rsidP="008A717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2.10</w:t>
            </w:r>
            <w:r w:rsidRPr="000147C5">
              <w:rPr>
                <w:rFonts w:ascii="宋体" w:hAnsi="宋体" w:hint="eastAsia"/>
                <w:color w:val="000000"/>
                <w:szCs w:val="21"/>
              </w:rPr>
              <w:t>%</w:t>
            </w:r>
          </w:p>
        </w:tc>
        <w:tc>
          <w:tcPr>
            <w:tcW w:w="1276" w:type="dxa"/>
            <w:vAlign w:val="center"/>
          </w:tcPr>
          <w:p w:rsidR="00834370" w:rsidRPr="000147C5" w:rsidRDefault="00834370" w:rsidP="008A717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2.90</w:t>
            </w:r>
            <w:r w:rsidRPr="000147C5">
              <w:rPr>
                <w:rFonts w:ascii="宋体" w:hAnsi="宋体"/>
                <w:color w:val="000000"/>
                <w:szCs w:val="21"/>
              </w:rPr>
              <w:t>%</w:t>
            </w:r>
          </w:p>
        </w:tc>
        <w:tc>
          <w:tcPr>
            <w:tcW w:w="1276" w:type="dxa"/>
            <w:vAlign w:val="center"/>
          </w:tcPr>
          <w:p w:rsidR="00834370" w:rsidRPr="000147C5" w:rsidRDefault="00834370" w:rsidP="008A717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3.00</w:t>
            </w:r>
            <w:r w:rsidRPr="000147C5">
              <w:rPr>
                <w:rFonts w:ascii="宋体" w:hAnsi="宋体"/>
                <w:color w:val="000000"/>
                <w:szCs w:val="21"/>
              </w:rPr>
              <w:t>%</w:t>
            </w:r>
          </w:p>
        </w:tc>
        <w:tc>
          <w:tcPr>
            <w:tcW w:w="1226" w:type="dxa"/>
            <w:vAlign w:val="center"/>
          </w:tcPr>
          <w:p w:rsidR="00834370" w:rsidRPr="000147C5" w:rsidRDefault="00834370" w:rsidP="008A717D">
            <w:pPr>
              <w:ind w:rightChars="-64" w:right="-134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3.20</w:t>
            </w:r>
            <w:r w:rsidRPr="000147C5">
              <w:rPr>
                <w:rFonts w:ascii="宋体" w:hAnsi="宋体"/>
                <w:color w:val="000000"/>
                <w:szCs w:val="21"/>
              </w:rPr>
              <w:t>%</w:t>
            </w:r>
          </w:p>
        </w:tc>
      </w:tr>
    </w:tbl>
    <w:p w:rsidR="00834370" w:rsidRPr="000147C5" w:rsidRDefault="00834370" w:rsidP="00834370">
      <w:pPr>
        <w:spacing w:line="480" w:lineRule="exact"/>
        <w:rPr>
          <w:rFonts w:ascii="宋体" w:hAnsi="宋体"/>
          <w:color w:val="000000"/>
          <w:szCs w:val="21"/>
        </w:rPr>
      </w:pPr>
      <w:r w:rsidRPr="000147C5">
        <w:rPr>
          <w:rFonts w:ascii="宋体" w:hAnsi="宋体" w:hint="eastAsia"/>
          <w:color w:val="000000"/>
          <w:szCs w:val="21"/>
        </w:rPr>
        <w:t>其中：T为投资期，单位：天</w:t>
      </w:r>
    </w:p>
    <w:p w:rsidR="00834370" w:rsidRPr="00EE774A" w:rsidRDefault="00834370" w:rsidP="00834370">
      <w:pPr>
        <w:ind w:firstLineChars="200" w:firstLine="560"/>
        <w:jc w:val="left"/>
        <w:rPr>
          <w:rFonts w:ascii="宋体" w:hAnsi="宋体"/>
          <w:color w:val="000000"/>
          <w:sz w:val="28"/>
          <w:szCs w:val="28"/>
        </w:rPr>
      </w:pPr>
      <w:r w:rsidRPr="009E0E2D">
        <w:rPr>
          <w:rFonts w:ascii="宋体" w:hAnsi="宋体" w:hint="eastAsia"/>
          <w:color w:val="000000"/>
          <w:sz w:val="28"/>
          <w:szCs w:val="28"/>
        </w:rPr>
        <w:t>相关</w:t>
      </w:r>
      <w:r w:rsidRPr="00EE774A">
        <w:rPr>
          <w:rFonts w:ascii="宋体" w:hAnsi="宋体" w:hint="eastAsia"/>
          <w:color w:val="000000"/>
          <w:sz w:val="28"/>
          <w:szCs w:val="28"/>
        </w:rPr>
        <w:t>收益及计算方法，请具体查阅对应的收益率调整公告及产品说明书。</w:t>
      </w:r>
    </w:p>
    <w:p w:rsidR="00834370" w:rsidRPr="00EE774A" w:rsidRDefault="00834370" w:rsidP="00834370">
      <w:pPr>
        <w:spacing w:line="480" w:lineRule="exact"/>
        <w:ind w:firstLineChars="200" w:firstLine="562"/>
        <w:outlineLvl w:val="0"/>
        <w:rPr>
          <w:rFonts w:ascii="宋体" w:hAnsi="宋体"/>
          <w:b/>
          <w:color w:val="000000"/>
          <w:sz w:val="28"/>
          <w:szCs w:val="28"/>
        </w:rPr>
      </w:pPr>
      <w:r w:rsidRPr="00EE774A">
        <w:rPr>
          <w:rFonts w:ascii="宋体" w:hAnsi="宋体" w:hint="eastAsia"/>
          <w:b/>
          <w:color w:val="000000"/>
          <w:sz w:val="28"/>
          <w:szCs w:val="28"/>
        </w:rPr>
        <w:t>二、产品投资组合详细情况</w:t>
      </w:r>
    </w:p>
    <w:p w:rsidR="00834370" w:rsidRPr="00EE774A" w:rsidRDefault="00834370" w:rsidP="00834370">
      <w:pPr>
        <w:spacing w:line="480" w:lineRule="exact"/>
        <w:ind w:firstLineChars="200" w:firstLine="562"/>
        <w:outlineLvl w:val="0"/>
        <w:rPr>
          <w:rFonts w:ascii="宋体" w:hAnsi="宋体"/>
          <w:b/>
          <w:color w:val="000000"/>
          <w:sz w:val="28"/>
          <w:szCs w:val="28"/>
        </w:rPr>
      </w:pPr>
      <w:r w:rsidRPr="00EE774A">
        <w:rPr>
          <w:rFonts w:ascii="宋体" w:hAnsi="宋体" w:hint="eastAsia"/>
          <w:b/>
          <w:color w:val="000000"/>
          <w:sz w:val="28"/>
          <w:szCs w:val="28"/>
        </w:rPr>
        <w:t>（一）投资组合的基本情况</w:t>
      </w:r>
    </w:p>
    <w:p w:rsidR="00834370" w:rsidRPr="00EE774A" w:rsidRDefault="00B105E3" w:rsidP="00834370">
      <w:pPr>
        <w:jc w:val="center"/>
        <w:rPr>
          <w:rFonts w:ascii="宋体" w:hAnsi="宋体"/>
          <w:color w:val="00000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5779D7EA" wp14:editId="235A2BA5">
            <wp:extent cx="3582229" cy="2758109"/>
            <wp:effectExtent l="0" t="0" r="18415" b="23495"/>
            <wp:docPr id="4" name="图表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34370" w:rsidRPr="00EE774A" w:rsidRDefault="00834370" w:rsidP="00834370">
      <w:pPr>
        <w:spacing w:line="480" w:lineRule="exact"/>
        <w:ind w:firstLineChars="146" w:firstLine="410"/>
        <w:outlineLvl w:val="0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 xml:space="preserve"> </w:t>
      </w:r>
      <w:r w:rsidRPr="00EE774A">
        <w:rPr>
          <w:rFonts w:ascii="宋体" w:hAnsi="宋体" w:hint="eastAsia"/>
          <w:b/>
          <w:color w:val="000000"/>
          <w:sz w:val="28"/>
          <w:szCs w:val="28"/>
        </w:rPr>
        <w:t>（二）融资类资产的行内评级构成</w:t>
      </w:r>
    </w:p>
    <w:p w:rsidR="00834370" w:rsidRPr="00EE774A" w:rsidRDefault="00B105E3" w:rsidP="00834370">
      <w:pPr>
        <w:jc w:val="center"/>
        <w:rPr>
          <w:rFonts w:ascii="宋体" w:hAnsi="宋体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52E18A76" wp14:editId="07CBA5EC">
            <wp:extent cx="3751195" cy="2601154"/>
            <wp:effectExtent l="0" t="0" r="20955" b="27940"/>
            <wp:docPr id="5" name="图表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34370" w:rsidRPr="00EE774A" w:rsidRDefault="00834370" w:rsidP="00834370">
      <w:pPr>
        <w:spacing w:line="480" w:lineRule="exact"/>
        <w:ind w:firstLineChars="200" w:firstLine="562"/>
        <w:outlineLvl w:val="0"/>
        <w:rPr>
          <w:rFonts w:ascii="宋体" w:hAnsi="宋体"/>
          <w:b/>
          <w:color w:val="000000"/>
          <w:sz w:val="28"/>
          <w:szCs w:val="28"/>
        </w:rPr>
      </w:pPr>
      <w:r w:rsidRPr="00C75BE9">
        <w:rPr>
          <w:rFonts w:ascii="宋体" w:hAnsi="宋体" w:hint="eastAsia"/>
          <w:b/>
          <w:color w:val="000000"/>
          <w:sz w:val="28"/>
          <w:szCs w:val="28"/>
        </w:rPr>
        <w:t>（三</w:t>
      </w:r>
      <w:r w:rsidRPr="00C75BE9">
        <w:rPr>
          <w:rFonts w:ascii="宋体" w:hAnsi="宋体"/>
          <w:b/>
          <w:color w:val="000000"/>
          <w:sz w:val="28"/>
          <w:szCs w:val="28"/>
        </w:rPr>
        <w:t>）</w:t>
      </w:r>
      <w:r w:rsidRPr="00C75BE9">
        <w:rPr>
          <w:rFonts w:ascii="宋体" w:hAnsi="宋体" w:hint="eastAsia"/>
          <w:b/>
          <w:color w:val="000000"/>
          <w:sz w:val="28"/>
          <w:szCs w:val="28"/>
        </w:rPr>
        <w:t>融资类资产的行业占比构成及当月增减变化情况</w:t>
      </w:r>
    </w:p>
    <w:p w:rsidR="00834370" w:rsidRPr="005622F6" w:rsidRDefault="00B105E3" w:rsidP="00834370">
      <w:pPr>
        <w:ind w:right="1400"/>
        <w:jc w:val="center"/>
        <w:rPr>
          <w:rFonts w:ascii="宋体" w:hAnsi="宋体"/>
          <w:color w:val="00000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65B07B2A" wp14:editId="35767224">
            <wp:extent cx="5274310" cy="3298886"/>
            <wp:effectExtent l="0" t="0" r="21590" b="15875"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34370" w:rsidRPr="00EE774A" w:rsidRDefault="00834370" w:rsidP="00834370">
      <w:pPr>
        <w:spacing w:line="480" w:lineRule="exact"/>
        <w:ind w:firstLineChars="200" w:firstLine="562"/>
        <w:outlineLvl w:val="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三</w:t>
      </w:r>
      <w:r w:rsidRPr="00EE774A">
        <w:rPr>
          <w:rFonts w:ascii="宋体" w:hAnsi="宋体" w:hint="eastAsia"/>
          <w:b/>
          <w:color w:val="000000"/>
          <w:sz w:val="28"/>
          <w:szCs w:val="28"/>
        </w:rPr>
        <w:t>、产品整体运作情况</w:t>
      </w:r>
    </w:p>
    <w:p w:rsidR="00834370" w:rsidRPr="00EE774A" w:rsidRDefault="00834370" w:rsidP="00834370">
      <w:pPr>
        <w:spacing w:line="480" w:lineRule="exact"/>
        <w:ind w:firstLineChars="150" w:firstLine="420"/>
        <w:rPr>
          <w:rFonts w:ascii="宋体" w:hAnsi="宋体"/>
          <w:color w:val="000000"/>
          <w:sz w:val="28"/>
          <w:szCs w:val="28"/>
        </w:rPr>
      </w:pPr>
      <w:r w:rsidRPr="00EE774A">
        <w:rPr>
          <w:rFonts w:ascii="宋体" w:hAnsi="宋体" w:hint="eastAsia"/>
          <w:color w:val="000000"/>
          <w:sz w:val="28"/>
          <w:szCs w:val="28"/>
        </w:rPr>
        <w:t>（1）自本产品成立起至本报告日，产品管理人恪尽职守、勤勉尽责、谨慎管理，忠实履行有关法律、行政法规和相关文件的规定。</w:t>
      </w:r>
    </w:p>
    <w:p w:rsidR="00834370" w:rsidRPr="00EE774A" w:rsidRDefault="00834370" w:rsidP="00834370">
      <w:pPr>
        <w:spacing w:line="480" w:lineRule="exact"/>
        <w:ind w:firstLineChars="150" w:firstLine="420"/>
        <w:rPr>
          <w:rFonts w:ascii="宋体" w:hAnsi="宋体"/>
          <w:color w:val="000000"/>
          <w:sz w:val="28"/>
          <w:szCs w:val="28"/>
        </w:rPr>
      </w:pPr>
      <w:r w:rsidRPr="00EE774A">
        <w:rPr>
          <w:rFonts w:ascii="宋体" w:hAnsi="宋体" w:hint="eastAsia"/>
          <w:color w:val="000000"/>
          <w:sz w:val="28"/>
          <w:szCs w:val="28"/>
        </w:rPr>
        <w:t>（2）截至本报告日，所有投资资产正常运营，未发现有异常情况或者不利情况。</w:t>
      </w:r>
    </w:p>
    <w:p w:rsidR="00834370" w:rsidRPr="00EE774A" w:rsidRDefault="00834370" w:rsidP="00834370">
      <w:pPr>
        <w:spacing w:line="480" w:lineRule="exact"/>
        <w:ind w:firstLineChars="150" w:firstLine="420"/>
        <w:rPr>
          <w:rFonts w:ascii="宋体" w:hAnsi="宋体"/>
          <w:color w:val="000000"/>
          <w:sz w:val="28"/>
          <w:szCs w:val="28"/>
        </w:rPr>
      </w:pPr>
      <w:r w:rsidRPr="00EE774A">
        <w:rPr>
          <w:rFonts w:ascii="宋体" w:hAnsi="宋体" w:hint="eastAsia"/>
          <w:color w:val="000000"/>
          <w:sz w:val="28"/>
          <w:szCs w:val="28"/>
        </w:rPr>
        <w:t>（3）本产品自成立至本报告日，没有发生涉诉及诉讼等损害投资者利益的情形。</w:t>
      </w:r>
    </w:p>
    <w:p w:rsidR="00834370" w:rsidRPr="00EE774A" w:rsidRDefault="00834370" w:rsidP="00834370">
      <w:pPr>
        <w:spacing w:line="480" w:lineRule="exact"/>
        <w:ind w:right="362" w:firstLineChars="2050" w:firstLine="5740"/>
        <w:jc w:val="right"/>
        <w:rPr>
          <w:rFonts w:ascii="宋体" w:hAnsi="宋体"/>
          <w:color w:val="000000"/>
          <w:sz w:val="28"/>
          <w:szCs w:val="28"/>
        </w:rPr>
      </w:pPr>
      <w:r w:rsidRPr="00EE774A">
        <w:rPr>
          <w:rFonts w:ascii="宋体" w:hAnsi="宋体" w:hint="eastAsia"/>
          <w:color w:val="000000"/>
          <w:sz w:val="28"/>
          <w:szCs w:val="28"/>
        </w:rPr>
        <w:t>中国建设银行</w:t>
      </w:r>
    </w:p>
    <w:p w:rsidR="00834370" w:rsidRDefault="00834370" w:rsidP="00834370">
      <w:pPr>
        <w:spacing w:line="480" w:lineRule="exact"/>
        <w:ind w:right="222" w:firstLineChars="200" w:firstLine="560"/>
        <w:jc w:val="righ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201</w:t>
      </w:r>
      <w:r w:rsidR="00BA3F60">
        <w:rPr>
          <w:rFonts w:ascii="宋体" w:hAnsi="宋体" w:hint="eastAsia"/>
          <w:color w:val="000000"/>
          <w:sz w:val="28"/>
          <w:szCs w:val="28"/>
        </w:rPr>
        <w:t>8</w:t>
      </w:r>
      <w:r>
        <w:rPr>
          <w:rFonts w:ascii="宋体" w:hAnsi="宋体" w:hint="eastAsia"/>
          <w:color w:val="000000"/>
          <w:sz w:val="28"/>
          <w:szCs w:val="28"/>
        </w:rPr>
        <w:t>年</w:t>
      </w:r>
      <w:r w:rsidR="00BA3F60">
        <w:rPr>
          <w:rFonts w:ascii="宋体" w:hAnsi="宋体" w:hint="eastAsia"/>
          <w:color w:val="000000"/>
          <w:sz w:val="28"/>
          <w:szCs w:val="28"/>
        </w:rPr>
        <w:t>1</w:t>
      </w:r>
      <w:r>
        <w:rPr>
          <w:rFonts w:ascii="宋体" w:hAnsi="宋体" w:hint="eastAsia"/>
          <w:color w:val="000000"/>
          <w:sz w:val="28"/>
          <w:szCs w:val="28"/>
        </w:rPr>
        <w:t>月</w:t>
      </w:r>
      <w:r w:rsidR="00BA3F60">
        <w:rPr>
          <w:rFonts w:ascii="宋体" w:hAnsi="宋体" w:hint="eastAsia"/>
          <w:color w:val="000000"/>
          <w:sz w:val="28"/>
          <w:szCs w:val="28"/>
        </w:rPr>
        <w:t>8</w:t>
      </w:r>
      <w:r>
        <w:rPr>
          <w:rFonts w:ascii="宋体" w:hAnsi="宋体" w:hint="eastAsia"/>
          <w:color w:val="000000"/>
          <w:sz w:val="28"/>
          <w:szCs w:val="28"/>
        </w:rPr>
        <w:t>日</w:t>
      </w:r>
    </w:p>
    <w:p w:rsidR="0066201C" w:rsidRDefault="00F57B1C"/>
    <w:sectPr w:rsidR="006620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B1C" w:rsidRDefault="00F57B1C" w:rsidP="00834370">
      <w:r>
        <w:separator/>
      </w:r>
    </w:p>
  </w:endnote>
  <w:endnote w:type="continuationSeparator" w:id="0">
    <w:p w:rsidR="00F57B1C" w:rsidRDefault="00F57B1C" w:rsidP="00834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B1C" w:rsidRDefault="00F57B1C" w:rsidP="00834370">
      <w:r>
        <w:separator/>
      </w:r>
    </w:p>
  </w:footnote>
  <w:footnote w:type="continuationSeparator" w:id="0">
    <w:p w:rsidR="00F57B1C" w:rsidRDefault="00F57B1C" w:rsidP="008343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0E8"/>
    <w:rsid w:val="00052167"/>
    <w:rsid w:val="00153C80"/>
    <w:rsid w:val="00405366"/>
    <w:rsid w:val="00467821"/>
    <w:rsid w:val="00834370"/>
    <w:rsid w:val="009D00E8"/>
    <w:rsid w:val="00A66F45"/>
    <w:rsid w:val="00B105E3"/>
    <w:rsid w:val="00BA2278"/>
    <w:rsid w:val="00BA3F60"/>
    <w:rsid w:val="00F57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37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343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3437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3437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3437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3437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34370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37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343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3437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3437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3437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3437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34370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21488;&#36134;&#23703;\&#24320;&#25918;&#24335;&#25259;&#38706;\2017\12&#26376;\12&#26376;&#27169;&#26495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21488;&#36134;&#23703;\&#24320;&#25918;&#24335;&#25259;&#38706;\2017\12&#26376;\12&#26376;&#27169;&#26495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21488;&#36134;&#23703;\&#24320;&#25918;&#24335;&#25259;&#38706;\2017\12&#26376;\12&#26376;&#27169;&#26495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081913266330997"/>
          <c:y val="7.1023255517772763E-2"/>
          <c:w val="0.79123261156213054"/>
          <c:h val="0.68958597928388288"/>
        </c:manualLayout>
      </c:layout>
      <c:pie3DChart>
        <c:varyColors val="1"/>
        <c:ser>
          <c:idx val="0"/>
          <c:order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'17年12月'!$A$116:$A$118</c:f>
              <c:strCache>
                <c:ptCount val="3"/>
                <c:pt idx="0">
                  <c:v>现金及债券类</c:v>
                </c:pt>
                <c:pt idx="1">
                  <c:v>融资类</c:v>
                </c:pt>
                <c:pt idx="2">
                  <c:v>其他</c:v>
                </c:pt>
              </c:strCache>
            </c:strRef>
          </c:cat>
          <c:val>
            <c:numRef>
              <c:f>'17年12月'!$B$116:$B$118</c:f>
              <c:numCache>
                <c:formatCode>0.00%</c:formatCode>
                <c:ptCount val="3"/>
                <c:pt idx="0">
                  <c:v>0.28210588985770124</c:v>
                </c:pt>
                <c:pt idx="1">
                  <c:v>0.71763638819341813</c:v>
                </c:pt>
                <c:pt idx="2">
                  <c:v>2.5772194885035829E-4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</c:spPr>
    </c:plotArea>
    <c:legend>
      <c:legendPos val="b"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4094706911637257E-2"/>
          <c:y val="0.10879629629629774"/>
          <c:w val="0.64954811898512765"/>
          <c:h val="0.77314814814815513"/>
        </c:manualLayout>
      </c:layout>
      <c:pie3DChart>
        <c:varyColors val="1"/>
        <c:ser>
          <c:idx val="0"/>
          <c:order val="0"/>
          <c:tx>
            <c:strRef>
              <c:f>'17年12月'!$B$124</c:f>
              <c:strCache>
                <c:ptCount val="1"/>
                <c:pt idx="0">
                  <c:v>占比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'17年12月'!$A$125:$A$129</c:f>
              <c:strCache>
                <c:ptCount val="5"/>
                <c:pt idx="0">
                  <c:v>AAA</c:v>
                </c:pt>
                <c:pt idx="1">
                  <c:v>AA+</c:v>
                </c:pt>
                <c:pt idx="2">
                  <c:v>AA</c:v>
                </c:pt>
                <c:pt idx="3">
                  <c:v>AA-及以下</c:v>
                </c:pt>
                <c:pt idx="4">
                  <c:v>未评级</c:v>
                </c:pt>
              </c:strCache>
            </c:strRef>
          </c:cat>
          <c:val>
            <c:numRef>
              <c:f>'17年12月'!$B$125:$B$129</c:f>
              <c:numCache>
                <c:formatCode>0.00%</c:formatCode>
                <c:ptCount val="5"/>
                <c:pt idx="0">
                  <c:v>0.19704937217596483</c:v>
                </c:pt>
                <c:pt idx="1">
                  <c:v>0.17791106410013346</c:v>
                </c:pt>
                <c:pt idx="2">
                  <c:v>6.8451587169701331E-2</c:v>
                </c:pt>
                <c:pt idx="3">
                  <c:v>0.52103449382123068</c:v>
                </c:pt>
                <c:pt idx="4">
                  <c:v>3.5553482732969752E-2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9.4609785513474542E-2"/>
          <c:y val="0.81667609408791753"/>
          <c:w val="0.79301189563861163"/>
          <c:h val="8.652561524127074E-2"/>
        </c:manualLayout>
      </c:layout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'17年12月'!$B$132</c:f>
              <c:strCache>
                <c:ptCount val="1"/>
                <c:pt idx="0">
                  <c:v>12月各行业</c:v>
                </c:pt>
              </c:strCache>
            </c:strRef>
          </c:tx>
          <c:invertIfNegative val="0"/>
          <c:cat>
            <c:strRef>
              <c:f>'17年12月'!$A$133:$A$144</c:f>
              <c:strCache>
                <c:ptCount val="12"/>
                <c:pt idx="0">
                  <c:v>建筑业</c:v>
                </c:pt>
                <c:pt idx="1">
                  <c:v>租赁和商务服务业</c:v>
                </c:pt>
                <c:pt idx="2">
                  <c:v>综合</c:v>
                </c:pt>
                <c:pt idx="3">
                  <c:v>交通运输、仓储和邮政业</c:v>
                </c:pt>
                <c:pt idx="4">
                  <c:v>批发和零售业</c:v>
                </c:pt>
                <c:pt idx="5">
                  <c:v>公共管理、社会保障和社会组织</c:v>
                </c:pt>
                <c:pt idx="6">
                  <c:v>制造业</c:v>
                </c:pt>
                <c:pt idx="7">
                  <c:v>金融业</c:v>
                </c:pt>
                <c:pt idx="8">
                  <c:v>信息传输、计算机服务和软件业</c:v>
                </c:pt>
                <c:pt idx="9">
                  <c:v>电力、热力、燃气及水生产和供应业</c:v>
                </c:pt>
                <c:pt idx="10">
                  <c:v>卫生、社会保障和社会福利业</c:v>
                </c:pt>
                <c:pt idx="11">
                  <c:v>水利、环境和公共设施管理业</c:v>
                </c:pt>
              </c:strCache>
            </c:strRef>
          </c:cat>
          <c:val>
            <c:numRef>
              <c:f>'17年12月'!$B$133:$B$144</c:f>
              <c:numCache>
                <c:formatCode>0.00%</c:formatCode>
                <c:ptCount val="12"/>
                <c:pt idx="0">
                  <c:v>0.10439484141731639</c:v>
                </c:pt>
                <c:pt idx="1">
                  <c:v>0.29972878797811059</c:v>
                </c:pt>
                <c:pt idx="2">
                  <c:v>7.1825217642363132E-2</c:v>
                </c:pt>
                <c:pt idx="3">
                  <c:v>3.2321347939063411E-2</c:v>
                </c:pt>
                <c:pt idx="4">
                  <c:v>2.7221757486455625E-2</c:v>
                </c:pt>
                <c:pt idx="5">
                  <c:v>8.4035504641564868E-3</c:v>
                </c:pt>
                <c:pt idx="6">
                  <c:v>8.4035504641564868E-2</c:v>
                </c:pt>
                <c:pt idx="7">
                  <c:v>0.12066636563917006</c:v>
                </c:pt>
                <c:pt idx="8">
                  <c:v>2.8730087056945252E-2</c:v>
                </c:pt>
                <c:pt idx="9">
                  <c:v>2.801183488052162E-2</c:v>
                </c:pt>
                <c:pt idx="10">
                  <c:v>2.8730087056945252E-3</c:v>
                </c:pt>
                <c:pt idx="11">
                  <c:v>0.19178769614863803</c:v>
                </c:pt>
              </c:numCache>
            </c:numRef>
          </c:val>
        </c:ser>
        <c:ser>
          <c:idx val="1"/>
          <c:order val="1"/>
          <c:tx>
            <c:strRef>
              <c:f>'17年12月'!$C$132</c:f>
              <c:strCache>
                <c:ptCount val="1"/>
                <c:pt idx="0">
                  <c:v>11月各行业</c:v>
                </c:pt>
              </c:strCache>
            </c:strRef>
          </c:tx>
          <c:invertIfNegative val="0"/>
          <c:cat>
            <c:strRef>
              <c:f>'17年12月'!$A$133:$A$144</c:f>
              <c:strCache>
                <c:ptCount val="12"/>
                <c:pt idx="0">
                  <c:v>建筑业</c:v>
                </c:pt>
                <c:pt idx="1">
                  <c:v>租赁和商务服务业</c:v>
                </c:pt>
                <c:pt idx="2">
                  <c:v>综合</c:v>
                </c:pt>
                <c:pt idx="3">
                  <c:v>交通运输、仓储和邮政业</c:v>
                </c:pt>
                <c:pt idx="4">
                  <c:v>批发和零售业</c:v>
                </c:pt>
                <c:pt idx="5">
                  <c:v>公共管理、社会保障和社会组织</c:v>
                </c:pt>
                <c:pt idx="6">
                  <c:v>制造业</c:v>
                </c:pt>
                <c:pt idx="7">
                  <c:v>金融业</c:v>
                </c:pt>
                <c:pt idx="8">
                  <c:v>信息传输、计算机服务和软件业</c:v>
                </c:pt>
                <c:pt idx="9">
                  <c:v>电力、热力、燃气及水生产和供应业</c:v>
                </c:pt>
                <c:pt idx="10">
                  <c:v>卫生、社会保障和社会福利业</c:v>
                </c:pt>
                <c:pt idx="11">
                  <c:v>水利、环境和公共设施管理业</c:v>
                </c:pt>
              </c:strCache>
            </c:strRef>
          </c:cat>
          <c:val>
            <c:numRef>
              <c:f>'17年12月'!$C$133:$C$144</c:f>
              <c:numCache>
                <c:formatCode>0.00%</c:formatCode>
                <c:ptCount val="12"/>
                <c:pt idx="0">
                  <c:v>4.6252915536594753E-2</c:v>
                </c:pt>
                <c:pt idx="1">
                  <c:v>0.50722382745934946</c:v>
                </c:pt>
                <c:pt idx="2">
                  <c:v>7.7938151400554309E-2</c:v>
                </c:pt>
                <c:pt idx="3">
                  <c:v>0</c:v>
                </c:pt>
                <c:pt idx="4">
                  <c:v>2.9538559380810084E-2</c:v>
                </c:pt>
                <c:pt idx="5">
                  <c:v>7.6379388372543225E-2</c:v>
                </c:pt>
                <c:pt idx="6">
                  <c:v>0.10911341196077604</c:v>
                </c:pt>
                <c:pt idx="7">
                  <c:v>1.4028867252099776E-2</c:v>
                </c:pt>
                <c:pt idx="8">
                  <c:v>3.1175260560221726E-2</c:v>
                </c:pt>
                <c:pt idx="9">
                  <c:v>2.8057734504199551E-2</c:v>
                </c:pt>
                <c:pt idx="10">
                  <c:v>3.1175260560221724E-3</c:v>
                </c:pt>
                <c:pt idx="11">
                  <c:v>7.7174357516828884E-2</c:v>
                </c:pt>
              </c:numCache>
            </c:numRef>
          </c:val>
        </c:ser>
        <c:ser>
          <c:idx val="2"/>
          <c:order val="2"/>
          <c:tx>
            <c:strRef>
              <c:f>'17年12月'!$D$132</c:f>
              <c:strCache>
                <c:ptCount val="1"/>
                <c:pt idx="0">
                  <c:v>行业变化</c:v>
                </c:pt>
              </c:strCache>
            </c:strRef>
          </c:tx>
          <c:invertIfNegative val="0"/>
          <c:cat>
            <c:strRef>
              <c:f>'17年12月'!$A$133:$A$144</c:f>
              <c:strCache>
                <c:ptCount val="12"/>
                <c:pt idx="0">
                  <c:v>建筑业</c:v>
                </c:pt>
                <c:pt idx="1">
                  <c:v>租赁和商务服务业</c:v>
                </c:pt>
                <c:pt idx="2">
                  <c:v>综合</c:v>
                </c:pt>
                <c:pt idx="3">
                  <c:v>交通运输、仓储和邮政业</c:v>
                </c:pt>
                <c:pt idx="4">
                  <c:v>批发和零售业</c:v>
                </c:pt>
                <c:pt idx="5">
                  <c:v>公共管理、社会保障和社会组织</c:v>
                </c:pt>
                <c:pt idx="6">
                  <c:v>制造业</c:v>
                </c:pt>
                <c:pt idx="7">
                  <c:v>金融业</c:v>
                </c:pt>
                <c:pt idx="8">
                  <c:v>信息传输、计算机服务和软件业</c:v>
                </c:pt>
                <c:pt idx="9">
                  <c:v>电力、热力、燃气及水生产和供应业</c:v>
                </c:pt>
                <c:pt idx="10">
                  <c:v>卫生、社会保障和社会福利业</c:v>
                </c:pt>
                <c:pt idx="11">
                  <c:v>水利、环境和公共设施管理业</c:v>
                </c:pt>
              </c:strCache>
            </c:strRef>
          </c:cat>
          <c:val>
            <c:numRef>
              <c:f>'17年12月'!$D$133:$D$144</c:f>
              <c:numCache>
                <c:formatCode>0.00%</c:formatCode>
                <c:ptCount val="12"/>
                <c:pt idx="0">
                  <c:v>5.8141925880721639E-2</c:v>
                </c:pt>
                <c:pt idx="1">
                  <c:v>-0.20749503948123887</c:v>
                </c:pt>
                <c:pt idx="2">
                  <c:v>-6.1129337581911775E-3</c:v>
                </c:pt>
                <c:pt idx="3">
                  <c:v>3.2321347939063411E-2</c:v>
                </c:pt>
                <c:pt idx="4">
                  <c:v>-2.3168018943544588E-3</c:v>
                </c:pt>
                <c:pt idx="5">
                  <c:v>-6.7975837908386738E-2</c:v>
                </c:pt>
                <c:pt idx="6">
                  <c:v>-2.5077907319211168E-2</c:v>
                </c:pt>
                <c:pt idx="7">
                  <c:v>0.10663749838707029</c:v>
                </c:pt>
                <c:pt idx="8">
                  <c:v>-2.4451735032764745E-3</c:v>
                </c:pt>
                <c:pt idx="9">
                  <c:v>-4.5899623677930768E-5</c:v>
                </c:pt>
                <c:pt idx="10">
                  <c:v>-2.4451735032764719E-4</c:v>
                </c:pt>
                <c:pt idx="11">
                  <c:v>0.11461333863180914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9392256"/>
        <c:axId val="109393792"/>
      </c:barChart>
      <c:catAx>
        <c:axId val="10939225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109393792"/>
        <c:crosses val="autoZero"/>
        <c:auto val="1"/>
        <c:lblAlgn val="ctr"/>
        <c:lblOffset val="100"/>
        <c:noMultiLvlLbl val="0"/>
      </c:catAx>
      <c:valAx>
        <c:axId val="109393792"/>
        <c:scaling>
          <c:orientation val="minMax"/>
        </c:scaling>
        <c:delete val="0"/>
        <c:axPos val="b"/>
        <c:majorGridlines/>
        <c:numFmt formatCode="0%" sourceLinked="0"/>
        <c:majorTickMark val="out"/>
        <c:minorTickMark val="none"/>
        <c:tickLblPos val="nextTo"/>
        <c:crossAx val="10939225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杨雯玥</dc:creator>
  <cp:keywords/>
  <dc:description/>
  <cp:lastModifiedBy>admin</cp:lastModifiedBy>
  <cp:revision>6</cp:revision>
  <dcterms:created xsi:type="dcterms:W3CDTF">2017-11-09T01:40:00Z</dcterms:created>
  <dcterms:modified xsi:type="dcterms:W3CDTF">2018-01-08T06:28:00Z</dcterms:modified>
</cp:coreProperties>
</file>