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C0" w:rsidRDefault="00A143C0" w:rsidP="00A143C0">
      <w:pPr>
        <w:spacing w:line="300" w:lineRule="exact"/>
        <w:jc w:val="center"/>
        <w:rPr>
          <w:rFonts w:ascii="黑体" w:eastAsia="黑体" w:hAnsi="黑体"/>
          <w:b/>
          <w:sz w:val="28"/>
          <w:szCs w:val="28"/>
        </w:rPr>
      </w:pPr>
      <w:r w:rsidRPr="00AE7BAD">
        <w:rPr>
          <w:rFonts w:ascii="黑体" w:eastAsia="黑体" w:hAnsi="黑体" w:hint="eastAsia"/>
          <w:b/>
          <w:sz w:val="28"/>
          <w:szCs w:val="28"/>
        </w:rPr>
        <w:t>中国建设银行汇得盈</w:t>
      </w:r>
      <w:r>
        <w:rPr>
          <w:rFonts w:ascii="黑体" w:eastAsia="黑体" w:hAnsi="黑体" w:hint="eastAsia"/>
          <w:b/>
          <w:sz w:val="28"/>
          <w:szCs w:val="28"/>
        </w:rPr>
        <w:t>保本型外币理财2013</w:t>
      </w:r>
      <w:r w:rsidRPr="00AE7BAD">
        <w:rPr>
          <w:rFonts w:ascii="黑体" w:eastAsia="黑体" w:hAnsi="黑体" w:hint="eastAsia"/>
          <w:b/>
          <w:sz w:val="28"/>
          <w:szCs w:val="28"/>
        </w:rPr>
        <w:t>年</w:t>
      </w:r>
      <w:r>
        <w:rPr>
          <w:rFonts w:ascii="黑体" w:eastAsia="黑体" w:hAnsi="黑体" w:hint="eastAsia"/>
          <w:b/>
          <w:sz w:val="28"/>
          <w:szCs w:val="28"/>
        </w:rPr>
        <w:t>第</w:t>
      </w:r>
      <w:r w:rsidR="00E045AE">
        <w:rPr>
          <w:rFonts w:ascii="黑体" w:eastAsia="黑体" w:hAnsi="黑体" w:hint="eastAsia"/>
          <w:b/>
          <w:sz w:val="28"/>
          <w:szCs w:val="28"/>
        </w:rPr>
        <w:t>4</w:t>
      </w:r>
      <w:r w:rsidRPr="00AE7BAD">
        <w:rPr>
          <w:rFonts w:ascii="黑体" w:eastAsia="黑体" w:hAnsi="黑体" w:hint="eastAsia"/>
          <w:b/>
          <w:sz w:val="28"/>
          <w:szCs w:val="28"/>
        </w:rPr>
        <w:t>期</w:t>
      </w:r>
    </w:p>
    <w:p w:rsidR="00A143C0" w:rsidRPr="00AE7BAD" w:rsidRDefault="00A143C0" w:rsidP="00A143C0">
      <w:pPr>
        <w:spacing w:line="300" w:lineRule="exact"/>
        <w:jc w:val="center"/>
        <w:rPr>
          <w:rFonts w:ascii="黑体" w:eastAsia="黑体" w:hAnsi="黑体"/>
          <w:b/>
          <w:sz w:val="28"/>
          <w:szCs w:val="28"/>
        </w:rPr>
      </w:pPr>
      <w:r w:rsidRPr="00AE7BAD">
        <w:rPr>
          <w:rFonts w:ascii="黑体" w:eastAsia="黑体" w:hAnsi="黑体" w:hint="eastAsia"/>
          <w:b/>
          <w:sz w:val="28"/>
          <w:szCs w:val="28"/>
        </w:rPr>
        <w:t>产品说明书</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一、产品要素</w:t>
      </w:r>
    </w:p>
    <w:tbl>
      <w:tblPr>
        <w:tblW w:w="8640" w:type="dxa"/>
        <w:tblInd w:w="15" w:type="dxa"/>
        <w:tblCellMar>
          <w:left w:w="0" w:type="dxa"/>
          <w:right w:w="0" w:type="dxa"/>
        </w:tblCellMar>
        <w:tblLook w:val="0000"/>
      </w:tblPr>
      <w:tblGrid>
        <w:gridCol w:w="2520"/>
        <w:gridCol w:w="6120"/>
      </w:tblGrid>
      <w:tr w:rsidR="00A143C0" w:rsidTr="00777ACF">
        <w:trPr>
          <w:trHeight w:val="300"/>
        </w:trPr>
        <w:tc>
          <w:tcPr>
            <w:tcW w:w="2520"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产品名称</w:t>
            </w:r>
          </w:p>
        </w:tc>
        <w:tc>
          <w:tcPr>
            <w:tcW w:w="6120" w:type="dxa"/>
            <w:tcBorders>
              <w:top w:val="single" w:sz="12" w:space="0" w:color="auto"/>
              <w:left w:val="single" w:sz="4" w:space="0" w:color="auto"/>
              <w:bottom w:val="single" w:sz="4" w:space="0" w:color="auto"/>
              <w:right w:val="single" w:sz="12" w:space="0" w:color="auto"/>
            </w:tcBorders>
            <w:tcMar>
              <w:top w:w="15" w:type="dxa"/>
              <w:left w:w="15" w:type="dxa"/>
              <w:bottom w:w="0" w:type="dxa"/>
              <w:right w:w="15" w:type="dxa"/>
            </w:tcMar>
            <w:vAlign w:val="bottom"/>
          </w:tcPr>
          <w:p w:rsidR="00A143C0" w:rsidRPr="00A5326D" w:rsidRDefault="00A143C0" w:rsidP="00777ACF">
            <w:pPr>
              <w:jc w:val="center"/>
              <w:rPr>
                <w:rFonts w:ascii="宋体" w:hAnsi="宋体"/>
                <w:sz w:val="18"/>
                <w:szCs w:val="18"/>
              </w:rPr>
            </w:pPr>
            <w:r w:rsidRPr="007F524C">
              <w:rPr>
                <w:rFonts w:ascii="幼圆" w:eastAsia="幼圆" w:hint="eastAsia"/>
                <w:kern w:val="0"/>
                <w:sz w:val="20"/>
                <w:szCs w:val="20"/>
              </w:rPr>
              <w:t>汇得盈保本型外币理财产品</w:t>
            </w:r>
            <w:r>
              <w:rPr>
                <w:rFonts w:ascii="幼圆" w:eastAsia="幼圆" w:hint="eastAsia"/>
                <w:kern w:val="0"/>
                <w:sz w:val="20"/>
                <w:szCs w:val="20"/>
              </w:rPr>
              <w:t>2013</w:t>
            </w:r>
            <w:r w:rsidRPr="007F524C">
              <w:rPr>
                <w:rFonts w:ascii="幼圆" w:eastAsia="幼圆" w:hint="eastAsia"/>
                <w:kern w:val="0"/>
                <w:sz w:val="20"/>
                <w:szCs w:val="20"/>
              </w:rPr>
              <w:t>年第</w:t>
            </w:r>
            <w:r w:rsidR="00E045AE">
              <w:rPr>
                <w:rFonts w:ascii="幼圆" w:eastAsia="幼圆" w:hint="eastAsia"/>
                <w:kern w:val="0"/>
                <w:sz w:val="20"/>
                <w:szCs w:val="20"/>
              </w:rPr>
              <w:t>4</w:t>
            </w:r>
            <w:r w:rsidRPr="007F524C">
              <w:rPr>
                <w:rFonts w:ascii="幼圆" w:eastAsia="幼圆" w:hint="eastAsia"/>
                <w:kern w:val="0"/>
                <w:sz w:val="20"/>
                <w:szCs w:val="20"/>
              </w:rPr>
              <w:t>期</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产品编号</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Pr="002D7D87" w:rsidRDefault="002D7D87" w:rsidP="002D7D87">
            <w:pPr>
              <w:ind w:firstLine="2205"/>
            </w:pPr>
            <w:r>
              <w:t>ZH012013004180D13</w:t>
            </w:r>
            <w:r w:rsidR="00A143C0" w:rsidRPr="00764614">
              <w:rPr>
                <w:rFonts w:ascii="幼圆" w:eastAsia="幼圆" w:hint="eastAsia"/>
                <w:kern w:val="0"/>
                <w:sz w:val="20"/>
                <w:szCs w:val="20"/>
              </w:rPr>
              <w:t>（</w:t>
            </w:r>
            <w:r w:rsidR="00E045AE">
              <w:rPr>
                <w:rFonts w:ascii="幼圆" w:eastAsia="幼圆" w:hint="eastAsia"/>
                <w:kern w:val="0"/>
                <w:sz w:val="20"/>
                <w:szCs w:val="20"/>
              </w:rPr>
              <w:t>港币</w:t>
            </w:r>
            <w:r w:rsidR="00A143C0" w:rsidRPr="00764614">
              <w:rPr>
                <w:rFonts w:ascii="幼圆" w:eastAsia="幼圆" w:hint="eastAsia"/>
                <w:kern w:val="0"/>
                <w:sz w:val="20"/>
                <w:szCs w:val="20"/>
              </w:rPr>
              <w:t>）</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产品类别</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保本浮动收益型</w:t>
            </w:r>
          </w:p>
        </w:tc>
      </w:tr>
      <w:tr w:rsidR="00A143C0" w:rsidTr="00777ACF">
        <w:trPr>
          <w:trHeight w:val="300"/>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内部风险评级</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noProof/>
                <w:sz w:val="18"/>
                <w:szCs w:val="18"/>
              </w:rPr>
              <w:drawing>
                <wp:inline distT="0" distB="0" distL="0" distR="0">
                  <wp:extent cx="190500" cy="1905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适合客户类别</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sidRPr="00BD2BFA">
              <w:rPr>
                <w:rFonts w:ascii="宋体" w:hAnsi="宋体" w:hint="eastAsia"/>
                <w:sz w:val="18"/>
                <w:szCs w:val="18"/>
              </w:rPr>
              <w:t>保守型、</w:t>
            </w:r>
            <w:r w:rsidRPr="00BD2BFA">
              <w:rPr>
                <w:rFonts w:ascii="宋体" w:hAnsi="宋体"/>
                <w:sz w:val="18"/>
                <w:szCs w:val="18"/>
              </w:rPr>
              <w:t>收益型、稳健型、进取型及积极进取型</w:t>
            </w:r>
            <w:r w:rsidRPr="00BD2BFA">
              <w:rPr>
                <w:rFonts w:ascii="宋体" w:hAnsi="宋体" w:hint="eastAsia"/>
                <w:sz w:val="18"/>
                <w:szCs w:val="18"/>
              </w:rPr>
              <w:t>个人</w:t>
            </w:r>
            <w:r w:rsidRPr="00BD2BFA">
              <w:rPr>
                <w:rFonts w:ascii="宋体" w:hAnsi="宋体"/>
                <w:sz w:val="18"/>
                <w:szCs w:val="18"/>
              </w:rPr>
              <w:t>客户</w:t>
            </w:r>
            <w:r w:rsidRPr="00BD2BFA">
              <w:rPr>
                <w:rFonts w:ascii="宋体" w:hAnsi="宋体" w:hint="eastAsia"/>
                <w:sz w:val="18"/>
                <w:szCs w:val="18"/>
              </w:rPr>
              <w:t>、机构类客户</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本金及收益币种</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Pr="002C2C51" w:rsidRDefault="00A143C0" w:rsidP="00777ACF">
            <w:pPr>
              <w:jc w:val="center"/>
              <w:rPr>
                <w:rFonts w:ascii="宋体" w:hAnsi="宋体"/>
                <w:sz w:val="18"/>
                <w:szCs w:val="18"/>
              </w:rPr>
            </w:pPr>
            <w:r>
              <w:rPr>
                <w:rFonts w:ascii="宋体" w:hAnsi="宋体" w:hint="eastAsia"/>
                <w:sz w:val="18"/>
                <w:szCs w:val="18"/>
              </w:rPr>
              <w:t>投资本金币种：</w:t>
            </w:r>
            <w:r w:rsidR="00E045AE">
              <w:rPr>
                <w:rFonts w:ascii="宋体" w:hAnsi="宋体" w:hint="eastAsia"/>
                <w:sz w:val="18"/>
                <w:szCs w:val="18"/>
              </w:rPr>
              <w:t>港币</w:t>
            </w:r>
            <w:r>
              <w:rPr>
                <w:rFonts w:ascii="宋体" w:hAnsi="宋体" w:hint="eastAsia"/>
                <w:sz w:val="18"/>
                <w:szCs w:val="18"/>
              </w:rPr>
              <w:t xml:space="preserve">   兑付本金币种：</w:t>
            </w:r>
            <w:r w:rsidR="00E045AE">
              <w:rPr>
                <w:rFonts w:ascii="宋体" w:hAnsi="宋体" w:hint="eastAsia"/>
                <w:sz w:val="18"/>
                <w:szCs w:val="18"/>
              </w:rPr>
              <w:t>港币</w:t>
            </w:r>
            <w:r>
              <w:rPr>
                <w:rFonts w:ascii="宋体" w:hAnsi="宋体" w:hint="eastAsia"/>
                <w:sz w:val="18"/>
                <w:szCs w:val="18"/>
              </w:rPr>
              <w:t xml:space="preserve">   兑付收益币种：人民币</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发售规模</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规模上限</w:t>
            </w:r>
            <w:r w:rsidR="00E045AE">
              <w:rPr>
                <w:rFonts w:ascii="宋体" w:hAnsi="宋体" w:hint="eastAsia"/>
                <w:sz w:val="18"/>
                <w:szCs w:val="18"/>
              </w:rPr>
              <w:t>港币</w:t>
            </w:r>
            <w:r>
              <w:rPr>
                <w:rFonts w:ascii="宋体" w:hAnsi="宋体" w:hint="eastAsia"/>
                <w:sz w:val="18"/>
                <w:szCs w:val="18"/>
              </w:rPr>
              <w:t>不超过</w:t>
            </w:r>
            <w:r w:rsidR="00E028D0">
              <w:rPr>
                <w:rFonts w:ascii="宋体" w:hAnsi="宋体" w:hint="eastAsia"/>
                <w:sz w:val="18"/>
                <w:szCs w:val="18"/>
              </w:rPr>
              <w:t>8</w:t>
            </w:r>
            <w:r>
              <w:rPr>
                <w:rFonts w:ascii="宋体" w:hAnsi="宋体" w:hint="eastAsia"/>
                <w:sz w:val="18"/>
                <w:szCs w:val="18"/>
              </w:rPr>
              <w:t>亿</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投资期限</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E028D0" w:rsidP="00777ACF">
            <w:pPr>
              <w:jc w:val="center"/>
              <w:rPr>
                <w:rFonts w:ascii="宋体" w:hAnsi="宋体"/>
                <w:sz w:val="18"/>
                <w:szCs w:val="18"/>
              </w:rPr>
            </w:pPr>
            <w:r>
              <w:rPr>
                <w:rFonts w:ascii="宋体" w:hAnsi="宋体" w:hint="eastAsia"/>
                <w:sz w:val="18"/>
                <w:szCs w:val="18"/>
              </w:rPr>
              <w:t>180</w:t>
            </w:r>
            <w:r w:rsidR="00A143C0">
              <w:rPr>
                <w:rFonts w:ascii="宋体" w:hAnsi="宋体" w:hint="eastAsia"/>
                <w:sz w:val="18"/>
                <w:szCs w:val="18"/>
              </w:rPr>
              <w:t>天</w:t>
            </w:r>
          </w:p>
        </w:tc>
      </w:tr>
      <w:tr w:rsidR="00A143C0" w:rsidTr="00777ACF">
        <w:trPr>
          <w:cantSplit/>
          <w:trHeight w:val="300"/>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产品募集期</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E028D0">
            <w:pPr>
              <w:jc w:val="center"/>
              <w:rPr>
                <w:rFonts w:ascii="宋体" w:hAnsi="宋体"/>
                <w:sz w:val="18"/>
                <w:szCs w:val="18"/>
              </w:rPr>
            </w:pPr>
            <w:r>
              <w:rPr>
                <w:rFonts w:ascii="宋体" w:hAnsi="宋体" w:hint="eastAsia"/>
                <w:sz w:val="18"/>
                <w:szCs w:val="18"/>
              </w:rPr>
              <w:t>2013</w:t>
            </w:r>
            <w:r w:rsidRPr="0065195A">
              <w:rPr>
                <w:rFonts w:ascii="宋体" w:hAnsi="宋体" w:hint="eastAsia"/>
                <w:sz w:val="18"/>
                <w:szCs w:val="18"/>
              </w:rPr>
              <w:t>年</w:t>
            </w:r>
            <w:r w:rsidR="00E028D0">
              <w:rPr>
                <w:rFonts w:ascii="宋体" w:hAnsi="宋体" w:hint="eastAsia"/>
                <w:sz w:val="18"/>
                <w:szCs w:val="18"/>
              </w:rPr>
              <w:t>4</w:t>
            </w:r>
            <w:r w:rsidRPr="0065195A">
              <w:rPr>
                <w:rFonts w:ascii="宋体" w:hAnsi="宋体" w:hint="eastAsia"/>
                <w:sz w:val="18"/>
                <w:szCs w:val="18"/>
              </w:rPr>
              <w:t>月</w:t>
            </w:r>
            <w:r w:rsidR="00E028D0">
              <w:rPr>
                <w:rFonts w:ascii="宋体" w:hAnsi="宋体" w:hint="eastAsia"/>
                <w:sz w:val="18"/>
                <w:szCs w:val="18"/>
              </w:rPr>
              <w:t>9</w:t>
            </w:r>
            <w:r>
              <w:rPr>
                <w:rFonts w:ascii="宋体" w:hAnsi="宋体" w:hint="eastAsia"/>
                <w:sz w:val="18"/>
                <w:szCs w:val="18"/>
              </w:rPr>
              <w:t>日9:00至</w:t>
            </w:r>
            <w:r w:rsidR="00E028D0">
              <w:rPr>
                <w:rFonts w:ascii="宋体" w:hAnsi="宋体" w:hint="eastAsia"/>
                <w:sz w:val="18"/>
                <w:szCs w:val="18"/>
              </w:rPr>
              <w:t>4</w:t>
            </w:r>
            <w:r w:rsidRPr="0065195A">
              <w:rPr>
                <w:rFonts w:ascii="宋体" w:hAnsi="宋体" w:hint="eastAsia"/>
                <w:sz w:val="18"/>
                <w:szCs w:val="18"/>
              </w:rPr>
              <w:t>月</w:t>
            </w:r>
            <w:r w:rsidR="00E028D0">
              <w:rPr>
                <w:rFonts w:ascii="宋体" w:hAnsi="宋体" w:hint="eastAsia"/>
                <w:sz w:val="18"/>
                <w:szCs w:val="18"/>
              </w:rPr>
              <w:t>10</w:t>
            </w:r>
            <w:r>
              <w:rPr>
                <w:rFonts w:ascii="宋体" w:hAnsi="宋体" w:hint="eastAsia"/>
                <w:sz w:val="18"/>
                <w:szCs w:val="18"/>
              </w:rPr>
              <w:t>日17:00</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投资清算日</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2013年</w:t>
            </w:r>
            <w:r w:rsidR="00E028D0">
              <w:rPr>
                <w:rFonts w:ascii="宋体" w:hAnsi="宋体" w:hint="eastAsia"/>
                <w:sz w:val="18"/>
                <w:szCs w:val="18"/>
              </w:rPr>
              <w:t>4</w:t>
            </w:r>
            <w:r>
              <w:rPr>
                <w:rFonts w:ascii="宋体" w:hAnsi="宋体" w:hint="eastAsia"/>
                <w:sz w:val="18"/>
                <w:szCs w:val="18"/>
              </w:rPr>
              <w:t>月</w:t>
            </w:r>
            <w:r w:rsidR="00E028D0">
              <w:rPr>
                <w:rFonts w:ascii="宋体" w:hAnsi="宋体" w:hint="eastAsia"/>
                <w:sz w:val="18"/>
                <w:szCs w:val="18"/>
              </w:rPr>
              <w:t>11</w:t>
            </w:r>
            <w:r>
              <w:rPr>
                <w:rFonts w:ascii="宋体" w:hAnsi="宋体" w:hint="eastAsia"/>
                <w:sz w:val="18"/>
                <w:szCs w:val="18"/>
              </w:rPr>
              <w:t>日（T日）</w:t>
            </w:r>
          </w:p>
        </w:tc>
      </w:tr>
      <w:tr w:rsidR="00A143C0" w:rsidTr="00777ACF">
        <w:trPr>
          <w:cantSplit/>
          <w:trHeight w:val="324"/>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tcPr>
          <w:p w:rsidR="00A143C0" w:rsidRDefault="00A143C0" w:rsidP="00777ACF">
            <w:pPr>
              <w:spacing w:line="340" w:lineRule="atLeast"/>
              <w:jc w:val="center"/>
              <w:rPr>
                <w:rFonts w:ascii="宋体" w:hAnsi="宋体"/>
                <w:sz w:val="18"/>
                <w:szCs w:val="18"/>
              </w:rPr>
            </w:pPr>
            <w:r>
              <w:rPr>
                <w:rFonts w:ascii="宋体" w:hAnsi="宋体" w:hint="eastAsia"/>
                <w:sz w:val="18"/>
                <w:szCs w:val="18"/>
              </w:rPr>
              <w:t>投资起始日</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spacing w:line="340" w:lineRule="atLeast"/>
              <w:jc w:val="center"/>
              <w:rPr>
                <w:rFonts w:ascii="宋体" w:hAnsi="宋体"/>
                <w:sz w:val="18"/>
                <w:szCs w:val="18"/>
              </w:rPr>
            </w:pPr>
            <w:r>
              <w:rPr>
                <w:rFonts w:ascii="宋体" w:hAnsi="宋体" w:hint="eastAsia"/>
                <w:sz w:val="18"/>
                <w:szCs w:val="18"/>
              </w:rPr>
              <w:t>2013年</w:t>
            </w:r>
            <w:r w:rsidR="00E028D0">
              <w:rPr>
                <w:rFonts w:ascii="宋体" w:hAnsi="宋体" w:hint="eastAsia"/>
                <w:sz w:val="18"/>
                <w:szCs w:val="18"/>
              </w:rPr>
              <w:t>4</w:t>
            </w:r>
            <w:r>
              <w:rPr>
                <w:rFonts w:ascii="宋体" w:hAnsi="宋体" w:hint="eastAsia"/>
                <w:sz w:val="18"/>
                <w:szCs w:val="18"/>
              </w:rPr>
              <w:t>月</w:t>
            </w:r>
            <w:r w:rsidR="00E028D0">
              <w:rPr>
                <w:rFonts w:ascii="宋体" w:hAnsi="宋体" w:hint="eastAsia"/>
                <w:sz w:val="18"/>
                <w:szCs w:val="18"/>
              </w:rPr>
              <w:t>12</w:t>
            </w:r>
            <w:r>
              <w:rPr>
                <w:rFonts w:ascii="宋体" w:hAnsi="宋体" w:hint="eastAsia"/>
                <w:sz w:val="18"/>
                <w:szCs w:val="18"/>
              </w:rPr>
              <w:t>日（T+1日）</w:t>
            </w:r>
          </w:p>
        </w:tc>
      </w:tr>
      <w:tr w:rsidR="00A143C0" w:rsidTr="00777ACF">
        <w:trPr>
          <w:cantSplit/>
          <w:trHeight w:val="300"/>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投资到期日</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bookmarkStart w:id="0" w:name="OLE_LINK1"/>
            <w:r>
              <w:rPr>
                <w:rFonts w:ascii="宋体" w:hAnsi="宋体" w:hint="eastAsia"/>
                <w:sz w:val="18"/>
                <w:szCs w:val="18"/>
              </w:rPr>
              <w:t>2013年</w:t>
            </w:r>
            <w:r w:rsidR="00E028D0">
              <w:rPr>
                <w:rFonts w:ascii="宋体" w:hAnsi="宋体" w:hint="eastAsia"/>
                <w:sz w:val="18"/>
                <w:szCs w:val="18"/>
              </w:rPr>
              <w:t>10</w:t>
            </w:r>
            <w:r>
              <w:rPr>
                <w:rFonts w:ascii="宋体" w:hAnsi="宋体" w:hint="eastAsia"/>
                <w:sz w:val="18"/>
                <w:szCs w:val="18"/>
              </w:rPr>
              <w:t>月</w:t>
            </w:r>
            <w:r w:rsidR="00E028D0">
              <w:rPr>
                <w:rFonts w:ascii="宋体" w:hAnsi="宋体" w:hint="eastAsia"/>
                <w:sz w:val="18"/>
                <w:szCs w:val="18"/>
              </w:rPr>
              <w:t>9</w:t>
            </w:r>
            <w:r>
              <w:rPr>
                <w:rFonts w:ascii="宋体" w:hAnsi="宋体" w:hint="eastAsia"/>
                <w:sz w:val="18"/>
                <w:szCs w:val="18"/>
              </w:rPr>
              <w:t>日</w:t>
            </w:r>
            <w:bookmarkEnd w:id="0"/>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计息规则</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spacing w:line="300" w:lineRule="exact"/>
              <w:rPr>
                <w:rFonts w:ascii="宋体" w:hAnsi="宋体"/>
                <w:b/>
                <w:sz w:val="18"/>
                <w:szCs w:val="18"/>
              </w:rPr>
            </w:pPr>
            <w:r>
              <w:rPr>
                <w:rFonts w:ascii="宋体" w:hAnsi="宋体" w:hint="eastAsia"/>
                <w:b/>
                <w:sz w:val="18"/>
                <w:szCs w:val="18"/>
              </w:rPr>
              <w:t>1.</w:t>
            </w:r>
            <w:r w:rsidRPr="00A7673A">
              <w:rPr>
                <w:rFonts w:ascii="宋体" w:hAnsi="宋体" w:hint="eastAsia"/>
                <w:b/>
                <w:sz w:val="18"/>
                <w:szCs w:val="18"/>
              </w:rPr>
              <w:t>募集期内按照活期存款利息计息，募集期内的利息不计入投资</w:t>
            </w:r>
            <w:r>
              <w:rPr>
                <w:rFonts w:ascii="宋体" w:hAnsi="宋体" w:hint="eastAsia"/>
                <w:b/>
                <w:sz w:val="18"/>
                <w:szCs w:val="18"/>
              </w:rPr>
              <w:t>本金。</w:t>
            </w:r>
          </w:p>
          <w:p w:rsidR="00A143C0" w:rsidRPr="00DD5943" w:rsidRDefault="00A143C0" w:rsidP="00777ACF">
            <w:pPr>
              <w:rPr>
                <w:rFonts w:ascii="宋体" w:hAnsi="宋体"/>
                <w:b/>
                <w:sz w:val="18"/>
                <w:szCs w:val="18"/>
              </w:rPr>
            </w:pPr>
            <w:r>
              <w:rPr>
                <w:rFonts w:ascii="宋体" w:hAnsi="宋体" w:hint="eastAsia"/>
                <w:b/>
                <w:sz w:val="18"/>
                <w:szCs w:val="18"/>
              </w:rPr>
              <w:t>2.</w:t>
            </w:r>
            <w:r w:rsidRPr="00DD5943">
              <w:rPr>
                <w:rFonts w:ascii="宋体" w:hAnsi="宋体" w:hint="eastAsia"/>
                <w:b/>
                <w:sz w:val="18"/>
                <w:szCs w:val="18"/>
              </w:rPr>
              <w:t>投资清算日不计活期存款利息及产品收益</w:t>
            </w:r>
            <w:r>
              <w:rPr>
                <w:rFonts w:ascii="宋体" w:hAnsi="宋体" w:hint="eastAsia"/>
                <w:b/>
                <w:sz w:val="18"/>
                <w:szCs w:val="18"/>
              </w:rPr>
              <w:t>。</w:t>
            </w:r>
          </w:p>
          <w:p w:rsidR="00A143C0" w:rsidRDefault="00A143C0" w:rsidP="00777ACF">
            <w:pPr>
              <w:rPr>
                <w:rFonts w:ascii="宋体" w:hAnsi="宋体"/>
                <w:sz w:val="18"/>
                <w:szCs w:val="18"/>
              </w:rPr>
            </w:pPr>
            <w:r w:rsidRPr="00DD5943">
              <w:rPr>
                <w:rFonts w:ascii="宋体" w:hAnsi="宋体" w:hint="eastAsia"/>
                <w:b/>
                <w:sz w:val="18"/>
                <w:szCs w:val="18"/>
              </w:rPr>
              <w:t>3.投资到期日至兑付日不计算利息。</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产品预期年化收益率</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E045AE" w:rsidP="00777ACF">
            <w:pPr>
              <w:jc w:val="center"/>
              <w:rPr>
                <w:rFonts w:ascii="宋体" w:hAnsi="宋体"/>
                <w:sz w:val="18"/>
                <w:szCs w:val="18"/>
              </w:rPr>
            </w:pPr>
            <w:r>
              <w:rPr>
                <w:rFonts w:ascii="宋体" w:hAnsi="宋体" w:hint="eastAsia"/>
                <w:sz w:val="18"/>
                <w:szCs w:val="18"/>
              </w:rPr>
              <w:t>港币</w:t>
            </w:r>
            <w:r w:rsidR="00A143C0">
              <w:rPr>
                <w:rFonts w:ascii="宋体" w:hAnsi="宋体" w:hint="eastAsia"/>
                <w:sz w:val="18"/>
                <w:szCs w:val="18"/>
              </w:rPr>
              <w:t>：</w:t>
            </w:r>
            <w:r w:rsidR="00E028D0">
              <w:rPr>
                <w:rFonts w:ascii="宋体" w:hAnsi="宋体" w:hint="eastAsia"/>
                <w:sz w:val="18"/>
                <w:szCs w:val="18"/>
              </w:rPr>
              <w:t>1.00</w:t>
            </w:r>
            <w:r w:rsidR="00A143C0">
              <w:rPr>
                <w:rFonts w:ascii="宋体" w:hAnsi="宋体" w:hint="eastAsia"/>
                <w:sz w:val="18"/>
                <w:szCs w:val="18"/>
              </w:rPr>
              <w:t>%</w:t>
            </w:r>
          </w:p>
          <w:p w:rsidR="00A143C0" w:rsidRDefault="00A143C0" w:rsidP="00777ACF">
            <w:pPr>
              <w:jc w:val="center"/>
              <w:rPr>
                <w:rFonts w:ascii="宋体" w:hAnsi="宋体"/>
                <w:sz w:val="18"/>
                <w:szCs w:val="18"/>
              </w:rPr>
            </w:pPr>
            <w:r>
              <w:rPr>
                <w:rFonts w:ascii="宋体" w:hAnsi="宋体" w:hint="eastAsia"/>
                <w:sz w:val="18"/>
                <w:szCs w:val="18"/>
              </w:rPr>
              <w:t>（产品收益计算基础：按照2013年</w:t>
            </w:r>
            <w:r w:rsidR="00A546D7">
              <w:rPr>
                <w:rFonts w:ascii="宋体" w:hAnsi="宋体" w:hint="eastAsia"/>
                <w:sz w:val="18"/>
                <w:szCs w:val="18"/>
              </w:rPr>
              <w:t>4</w:t>
            </w:r>
            <w:r>
              <w:rPr>
                <w:rFonts w:ascii="宋体" w:hAnsi="宋体" w:hint="eastAsia"/>
                <w:sz w:val="18"/>
                <w:szCs w:val="18"/>
              </w:rPr>
              <w:t>月</w:t>
            </w:r>
            <w:r w:rsidR="00A546D7">
              <w:rPr>
                <w:rFonts w:ascii="宋体" w:hAnsi="宋体" w:hint="eastAsia"/>
                <w:sz w:val="18"/>
                <w:szCs w:val="18"/>
              </w:rPr>
              <w:t>11</w:t>
            </w:r>
            <w:bookmarkStart w:id="1" w:name="_GoBack"/>
            <w:bookmarkEnd w:id="1"/>
            <w:r>
              <w:rPr>
                <w:rFonts w:ascii="宋体" w:hAnsi="宋体" w:hint="eastAsia"/>
                <w:sz w:val="18"/>
                <w:szCs w:val="18"/>
              </w:rPr>
              <w:t>日（T日）投资币种对人民币中间价折算基数计算出的人民币）</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投资起始金额</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E045AE" w:rsidP="00777ACF">
            <w:pPr>
              <w:jc w:val="center"/>
              <w:rPr>
                <w:rFonts w:ascii="宋体" w:hAnsi="宋体"/>
                <w:sz w:val="18"/>
                <w:szCs w:val="18"/>
              </w:rPr>
            </w:pPr>
            <w:r>
              <w:rPr>
                <w:rFonts w:ascii="宋体" w:hAnsi="宋体" w:hint="eastAsia"/>
                <w:sz w:val="18"/>
                <w:szCs w:val="18"/>
              </w:rPr>
              <w:t>港币</w:t>
            </w:r>
            <w:r w:rsidR="00A143C0">
              <w:rPr>
                <w:rFonts w:ascii="宋体" w:hAnsi="宋体" w:hint="eastAsia"/>
                <w:sz w:val="18"/>
                <w:szCs w:val="18"/>
              </w:rPr>
              <w:t>：</w:t>
            </w:r>
            <w:r w:rsidR="00E028D0">
              <w:rPr>
                <w:rFonts w:ascii="宋体" w:hAnsi="宋体" w:hint="eastAsia"/>
                <w:sz w:val="18"/>
                <w:szCs w:val="18"/>
              </w:rPr>
              <w:t>70000</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投资递增金额</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E045AE" w:rsidP="00777ACF">
            <w:pPr>
              <w:jc w:val="center"/>
              <w:rPr>
                <w:rFonts w:ascii="宋体" w:hAnsi="宋体"/>
                <w:sz w:val="18"/>
                <w:szCs w:val="18"/>
              </w:rPr>
            </w:pPr>
            <w:r>
              <w:rPr>
                <w:rFonts w:ascii="宋体" w:hAnsi="宋体" w:hint="eastAsia"/>
                <w:sz w:val="18"/>
                <w:szCs w:val="18"/>
              </w:rPr>
              <w:t>港币</w:t>
            </w:r>
            <w:r w:rsidR="00A143C0">
              <w:rPr>
                <w:rFonts w:ascii="宋体" w:hAnsi="宋体" w:hint="eastAsia"/>
                <w:sz w:val="18"/>
                <w:szCs w:val="18"/>
              </w:rPr>
              <w:t>：1000</w:t>
            </w:r>
            <w:r w:rsidR="00E028D0">
              <w:rPr>
                <w:rFonts w:ascii="宋体" w:hAnsi="宋体" w:hint="eastAsia"/>
                <w:sz w:val="18"/>
                <w:szCs w:val="18"/>
              </w:rPr>
              <w:t>0</w:t>
            </w:r>
          </w:p>
        </w:tc>
      </w:tr>
      <w:tr w:rsidR="00A143C0" w:rsidTr="00777ACF">
        <w:trPr>
          <w:cantSplit/>
          <w:trHeight w:val="300"/>
        </w:trPr>
        <w:tc>
          <w:tcPr>
            <w:tcW w:w="2520" w:type="dxa"/>
            <w:tcBorders>
              <w:left w:val="single" w:sz="12" w:space="0" w:color="auto"/>
              <w:bottom w:val="single" w:sz="4" w:space="0" w:color="000000"/>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提前终止权</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投资者无提前终止权，中国建设银行有提前终止权</w:t>
            </w:r>
          </w:p>
        </w:tc>
      </w:tr>
      <w:tr w:rsidR="00A143C0" w:rsidTr="00777ACF">
        <w:trPr>
          <w:trHeight w:val="300"/>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附属条款</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不具备质押等功能</w:t>
            </w:r>
          </w:p>
        </w:tc>
      </w:tr>
      <w:tr w:rsidR="00A143C0" w:rsidTr="00777ACF">
        <w:trPr>
          <w:trHeight w:val="300"/>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税款</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中国建设银行不负责代扣代缴投资者购买本产品的所得税款。</w:t>
            </w:r>
          </w:p>
        </w:tc>
      </w:tr>
    </w:tbl>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二、投资管理</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1、基础资产构成及运作方式</w:t>
      </w:r>
    </w:p>
    <w:p w:rsidR="00A143C0" w:rsidRDefault="00A143C0" w:rsidP="00A143C0">
      <w:pPr>
        <w:ind w:firstLineChars="200" w:firstLine="360"/>
        <w:rPr>
          <w:iCs/>
          <w:sz w:val="18"/>
          <w:szCs w:val="18"/>
        </w:rPr>
      </w:pPr>
      <w:r>
        <w:rPr>
          <w:rFonts w:hint="eastAsia"/>
          <w:iCs/>
          <w:sz w:val="18"/>
          <w:szCs w:val="18"/>
        </w:rPr>
        <w:t>本产品</w:t>
      </w:r>
      <w:r w:rsidRPr="0065195A">
        <w:rPr>
          <w:rFonts w:hint="eastAsia"/>
          <w:iCs/>
          <w:sz w:val="18"/>
          <w:szCs w:val="18"/>
        </w:rPr>
        <w:t>投资于</w:t>
      </w:r>
      <w:r>
        <w:rPr>
          <w:rFonts w:hint="eastAsia"/>
          <w:iCs/>
          <w:sz w:val="18"/>
          <w:szCs w:val="18"/>
        </w:rPr>
        <w:t>（含直接投资和通过信托计划投资）：</w:t>
      </w:r>
    </w:p>
    <w:p w:rsidR="00A143C0" w:rsidRDefault="00A143C0" w:rsidP="00A143C0">
      <w:pPr>
        <w:ind w:firstLineChars="200" w:firstLine="360"/>
        <w:rPr>
          <w:iCs/>
          <w:sz w:val="18"/>
          <w:szCs w:val="18"/>
        </w:rPr>
      </w:pPr>
      <w:r>
        <w:rPr>
          <w:rFonts w:hint="eastAsia"/>
          <w:iCs/>
          <w:sz w:val="18"/>
          <w:szCs w:val="18"/>
        </w:rPr>
        <w:t>国内银行间外汇掉期市场，</w:t>
      </w:r>
      <w:r w:rsidRPr="0065195A">
        <w:rPr>
          <w:rFonts w:hint="eastAsia"/>
          <w:iCs/>
          <w:sz w:val="18"/>
          <w:szCs w:val="18"/>
        </w:rPr>
        <w:t>银行间债券市场</w:t>
      </w:r>
      <w:r>
        <w:rPr>
          <w:rFonts w:hint="eastAsia"/>
          <w:iCs/>
          <w:sz w:val="18"/>
          <w:szCs w:val="18"/>
        </w:rPr>
        <w:t>各类债券、回购、同业存款</w:t>
      </w:r>
      <w:r w:rsidRPr="0065195A">
        <w:rPr>
          <w:rFonts w:hint="eastAsia"/>
          <w:iCs/>
          <w:sz w:val="18"/>
          <w:szCs w:val="18"/>
        </w:rPr>
        <w:t>等，以及其他监管机构允许交易的金融工具。</w:t>
      </w:r>
      <w:r>
        <w:rPr>
          <w:rFonts w:hint="eastAsia"/>
          <w:iCs/>
          <w:sz w:val="18"/>
          <w:szCs w:val="18"/>
        </w:rPr>
        <w:t>投资比例限制如下：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0"/>
        <w:gridCol w:w="4470"/>
      </w:tblGrid>
      <w:tr w:rsidR="00A143C0" w:rsidRPr="005603E2" w:rsidTr="00777ACF">
        <w:trPr>
          <w:trHeight w:val="444"/>
        </w:trPr>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hint="eastAsia"/>
                <w:iCs/>
                <w:sz w:val="18"/>
                <w:szCs w:val="18"/>
              </w:rPr>
              <w:t>资产类别</w:t>
            </w:r>
          </w:p>
        </w:tc>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hint="eastAsia"/>
                <w:iCs/>
                <w:sz w:val="18"/>
                <w:szCs w:val="18"/>
              </w:rPr>
              <w:t>投资比例</w:t>
            </w:r>
          </w:p>
        </w:tc>
      </w:tr>
      <w:tr w:rsidR="00A143C0" w:rsidRPr="005603E2" w:rsidTr="00777ACF">
        <w:trPr>
          <w:trHeight w:val="464"/>
        </w:trPr>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hint="eastAsia"/>
                <w:iCs/>
                <w:sz w:val="18"/>
                <w:szCs w:val="18"/>
              </w:rPr>
              <w:t>货币市场类金融工具（包括逆回购、银行存款等）</w:t>
            </w:r>
          </w:p>
        </w:tc>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iCs/>
                <w:sz w:val="18"/>
                <w:szCs w:val="18"/>
              </w:rPr>
              <w:t>10%-90%</w:t>
            </w:r>
          </w:p>
        </w:tc>
      </w:tr>
      <w:tr w:rsidR="00A143C0" w:rsidRPr="005603E2" w:rsidTr="00777ACF">
        <w:trPr>
          <w:trHeight w:val="767"/>
        </w:trPr>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hint="eastAsia"/>
                <w:iCs/>
                <w:sz w:val="18"/>
                <w:szCs w:val="18"/>
              </w:rPr>
              <w:t>债券类资产（包括国债、政策性金融债、央行票据、企业短期融资券、企业超短期融资券、中期票据、非公开定向融资工具、公司债、企业债等）</w:t>
            </w:r>
          </w:p>
        </w:tc>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iCs/>
                <w:sz w:val="18"/>
                <w:szCs w:val="18"/>
              </w:rPr>
              <w:t>10%-90%</w:t>
            </w:r>
          </w:p>
        </w:tc>
      </w:tr>
    </w:tbl>
    <w:p w:rsidR="00A143C0" w:rsidRPr="0054510D" w:rsidRDefault="00A143C0" w:rsidP="00A143C0">
      <w:pPr>
        <w:ind w:firstLineChars="200" w:firstLine="360"/>
        <w:rPr>
          <w:iCs/>
          <w:sz w:val="18"/>
          <w:szCs w:val="18"/>
        </w:rPr>
      </w:pPr>
      <w:r>
        <w:rPr>
          <w:rFonts w:hint="eastAsia"/>
          <w:iCs/>
          <w:sz w:val="18"/>
          <w:szCs w:val="18"/>
        </w:rPr>
        <w:t>允许各项资产配置比例</w:t>
      </w:r>
      <w:r w:rsidRPr="0054510D">
        <w:rPr>
          <w:rFonts w:hint="eastAsia"/>
          <w:iCs/>
          <w:sz w:val="18"/>
          <w:szCs w:val="18"/>
        </w:rPr>
        <w:t>上下浮动</w:t>
      </w:r>
      <w:r w:rsidRPr="0054510D">
        <w:rPr>
          <w:rFonts w:hint="eastAsia"/>
          <w:iCs/>
          <w:sz w:val="18"/>
          <w:szCs w:val="18"/>
        </w:rPr>
        <w:t>10%</w:t>
      </w:r>
      <w:r>
        <w:rPr>
          <w:rFonts w:hint="eastAsia"/>
          <w:iCs/>
          <w:sz w:val="18"/>
          <w:szCs w:val="18"/>
        </w:rPr>
        <w:t>。</w:t>
      </w:r>
    </w:p>
    <w:p w:rsidR="00A143C0" w:rsidRPr="0065195A" w:rsidRDefault="00A143C0" w:rsidP="00A143C0">
      <w:pPr>
        <w:ind w:firstLineChars="200" w:firstLine="422"/>
        <w:rPr>
          <w:rFonts w:ascii="黑体" w:eastAsia="黑体" w:cs="黑体"/>
          <w:b/>
          <w:kern w:val="0"/>
          <w:szCs w:val="21"/>
        </w:rPr>
      </w:pPr>
      <w:r w:rsidRPr="0065195A">
        <w:rPr>
          <w:rFonts w:ascii="黑体" w:eastAsia="黑体" w:cs="黑体" w:hint="eastAsia"/>
          <w:b/>
          <w:kern w:val="0"/>
          <w:szCs w:val="21"/>
        </w:rPr>
        <w:t>2、参与主体</w:t>
      </w:r>
    </w:p>
    <w:p w:rsidR="00A143C0" w:rsidRPr="0065195A" w:rsidRDefault="00A143C0" w:rsidP="00A143C0">
      <w:pPr>
        <w:ind w:firstLine="420"/>
        <w:rPr>
          <w:rFonts w:ascii="宋体" w:hAnsi="宋体"/>
          <w:bCs/>
          <w:sz w:val="18"/>
          <w:szCs w:val="18"/>
        </w:rPr>
      </w:pPr>
      <w:r w:rsidRPr="0065195A">
        <w:rPr>
          <w:rFonts w:ascii="宋体" w:hAnsi="宋体" w:hint="eastAsia"/>
          <w:bCs/>
          <w:sz w:val="18"/>
          <w:szCs w:val="18"/>
        </w:rPr>
        <w:t>产品发行人：中国建设银行股份有限公司</w:t>
      </w:r>
    </w:p>
    <w:p w:rsidR="00A143C0" w:rsidRDefault="00A143C0" w:rsidP="00A143C0">
      <w:pPr>
        <w:ind w:firstLine="420"/>
        <w:rPr>
          <w:rFonts w:ascii="宋体" w:hAnsi="宋体"/>
          <w:bCs/>
          <w:sz w:val="18"/>
          <w:szCs w:val="18"/>
        </w:rPr>
      </w:pPr>
      <w:r w:rsidRPr="0065195A">
        <w:rPr>
          <w:rFonts w:ascii="宋体" w:hAnsi="宋体" w:hint="eastAsia"/>
          <w:bCs/>
          <w:sz w:val="18"/>
          <w:szCs w:val="18"/>
        </w:rPr>
        <w:t>理财资产托管人：中国建设银行股份有限公司</w:t>
      </w:r>
    </w:p>
    <w:p w:rsidR="00A143C0" w:rsidRPr="005F1A79" w:rsidRDefault="00A143C0" w:rsidP="00A143C0">
      <w:pPr>
        <w:pStyle w:val="a3"/>
        <w:tabs>
          <w:tab w:val="left" w:pos="720"/>
        </w:tabs>
        <w:spacing w:line="300" w:lineRule="exact"/>
        <w:ind w:firstLine="420"/>
        <w:rPr>
          <w:rFonts w:hint="default"/>
          <w:bCs w:val="0"/>
          <w:sz w:val="18"/>
          <w:szCs w:val="18"/>
        </w:rPr>
      </w:pPr>
      <w:r w:rsidRPr="005F1A79">
        <w:rPr>
          <w:bCs w:val="0"/>
          <w:sz w:val="18"/>
          <w:szCs w:val="18"/>
        </w:rPr>
        <w:t>如果产品投资涉及信托计划，则受托人及信托保管人如下：</w:t>
      </w:r>
    </w:p>
    <w:p w:rsidR="00A143C0" w:rsidRPr="005F1A79" w:rsidRDefault="00A143C0" w:rsidP="00A143C0">
      <w:pPr>
        <w:pStyle w:val="a3"/>
        <w:tabs>
          <w:tab w:val="left" w:pos="720"/>
        </w:tabs>
        <w:spacing w:line="300" w:lineRule="exact"/>
        <w:ind w:firstLine="420"/>
        <w:rPr>
          <w:rFonts w:hint="default"/>
          <w:iCs/>
          <w:sz w:val="18"/>
          <w:szCs w:val="18"/>
        </w:rPr>
      </w:pPr>
      <w:r w:rsidRPr="005F1A79">
        <w:rPr>
          <w:iCs/>
          <w:sz w:val="18"/>
          <w:szCs w:val="18"/>
        </w:rPr>
        <w:t>信托公司：建信信托有限责任公司（注册地：安徽省合肥市九狮桥街45号兴泰大厦）</w:t>
      </w:r>
    </w:p>
    <w:p w:rsidR="00A143C0" w:rsidRPr="00D541F1" w:rsidRDefault="00A143C0" w:rsidP="00A143C0">
      <w:pPr>
        <w:ind w:firstLine="420"/>
        <w:rPr>
          <w:rFonts w:ascii="宋体" w:hAnsi="宋体"/>
          <w:bCs/>
          <w:sz w:val="18"/>
          <w:szCs w:val="18"/>
        </w:rPr>
      </w:pPr>
      <w:r w:rsidRPr="005F1A79">
        <w:rPr>
          <w:rFonts w:ascii="宋体" w:hAnsi="宋体" w:hint="eastAsia"/>
          <w:bCs/>
          <w:sz w:val="18"/>
          <w:szCs w:val="18"/>
        </w:rPr>
        <w:t>信托财产保管人：中国建设银行股份有限公司</w:t>
      </w:r>
    </w:p>
    <w:p w:rsidR="00A143C0" w:rsidRPr="00EB3B14" w:rsidRDefault="00A143C0" w:rsidP="00A143C0">
      <w:pPr>
        <w:ind w:firstLineChars="200" w:firstLine="360"/>
        <w:rPr>
          <w:iCs/>
          <w:sz w:val="18"/>
          <w:szCs w:val="18"/>
        </w:rPr>
      </w:pP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lastRenderedPageBreak/>
        <w:t>2、参与主体</w:t>
      </w:r>
    </w:p>
    <w:p w:rsidR="00A143C0" w:rsidRDefault="00A143C0" w:rsidP="00A143C0">
      <w:pPr>
        <w:ind w:firstLine="420"/>
        <w:rPr>
          <w:rFonts w:ascii="宋体" w:hAnsi="宋体"/>
          <w:bCs/>
          <w:sz w:val="18"/>
          <w:szCs w:val="18"/>
        </w:rPr>
      </w:pPr>
      <w:r>
        <w:rPr>
          <w:rFonts w:ascii="宋体" w:hAnsi="宋体" w:hint="eastAsia"/>
          <w:bCs/>
          <w:sz w:val="18"/>
          <w:szCs w:val="18"/>
        </w:rPr>
        <w:t>产品发行人：中国建设银行股份有限公司</w:t>
      </w:r>
    </w:p>
    <w:p w:rsidR="00A143C0" w:rsidRDefault="00A143C0" w:rsidP="00A143C0">
      <w:pPr>
        <w:ind w:firstLine="420"/>
        <w:rPr>
          <w:rFonts w:ascii="宋体" w:hAnsi="宋体"/>
          <w:bCs/>
          <w:sz w:val="18"/>
          <w:szCs w:val="18"/>
        </w:rPr>
      </w:pPr>
      <w:r>
        <w:rPr>
          <w:rFonts w:ascii="宋体" w:hAnsi="宋体" w:hint="eastAsia"/>
          <w:bCs/>
          <w:sz w:val="18"/>
          <w:szCs w:val="18"/>
        </w:rPr>
        <w:t>理财资产托管人：中国建设银行股份有限公司</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三、理财收益说明</w:t>
      </w:r>
    </w:p>
    <w:p w:rsidR="00A143C0" w:rsidRDefault="00A143C0" w:rsidP="00A143C0">
      <w:pPr>
        <w:autoSpaceDE w:val="0"/>
        <w:autoSpaceDN w:val="0"/>
        <w:adjustRightInd w:val="0"/>
        <w:spacing w:before="120"/>
        <w:ind w:firstLineChars="200" w:firstLine="422"/>
        <w:jc w:val="left"/>
        <w:rPr>
          <w:rFonts w:ascii="黑体" w:eastAsia="黑体" w:cs="黑体"/>
          <w:b/>
          <w:color w:val="333333"/>
          <w:kern w:val="0"/>
          <w:szCs w:val="21"/>
        </w:rPr>
      </w:pPr>
      <w:r>
        <w:rPr>
          <w:rFonts w:ascii="黑体" w:eastAsia="黑体" w:cs="黑体" w:hint="eastAsia"/>
          <w:b/>
          <w:color w:val="333333"/>
          <w:kern w:val="0"/>
          <w:szCs w:val="21"/>
        </w:rPr>
        <w:t>1、理财收益风险</w:t>
      </w:r>
    </w:p>
    <w:p w:rsidR="00A143C0" w:rsidRDefault="00A143C0" w:rsidP="00A143C0">
      <w:pPr>
        <w:ind w:firstLineChars="200" w:firstLine="360"/>
        <w:rPr>
          <w:rFonts w:ascii="宋体" w:hAnsi="宋体"/>
          <w:bCs/>
          <w:sz w:val="18"/>
          <w:szCs w:val="18"/>
        </w:rPr>
      </w:pPr>
      <w:r>
        <w:rPr>
          <w:rFonts w:ascii="宋体" w:hAnsi="宋体" w:hint="eastAsia"/>
          <w:bCs/>
          <w:sz w:val="18"/>
          <w:szCs w:val="18"/>
        </w:rPr>
        <w:t>（1）</w:t>
      </w:r>
      <w:r>
        <w:rPr>
          <w:rFonts w:ascii="宋体" w:hAnsi="宋体" w:hint="eastAsia"/>
          <w:b/>
          <w:sz w:val="18"/>
          <w:szCs w:val="18"/>
        </w:rPr>
        <w:t>测算收益不等于实际收益，投资需谨慎。</w:t>
      </w:r>
      <w:r>
        <w:rPr>
          <w:rFonts w:ascii="宋体" w:hAnsi="宋体" w:hint="eastAsia"/>
          <w:bCs/>
          <w:sz w:val="18"/>
          <w:szCs w:val="18"/>
        </w:rPr>
        <w:t>本说明书有关预期收益的表述不代表投资者到期获得的实际收益，亦不构成中国建设银行对本理财产品的任何收益承诺。</w:t>
      </w:r>
    </w:p>
    <w:p w:rsidR="00A143C0" w:rsidRPr="0065195A" w:rsidRDefault="00A143C0" w:rsidP="00A143C0">
      <w:pPr>
        <w:ind w:firstLineChars="200" w:firstLine="360"/>
        <w:rPr>
          <w:rFonts w:ascii="宋体" w:hAnsi="宋体"/>
          <w:bCs/>
          <w:sz w:val="18"/>
          <w:szCs w:val="18"/>
        </w:rPr>
      </w:pPr>
      <w:r>
        <w:rPr>
          <w:rFonts w:ascii="宋体" w:hAnsi="宋体" w:hint="eastAsia"/>
          <w:bCs/>
          <w:sz w:val="18"/>
          <w:szCs w:val="18"/>
        </w:rPr>
        <w:t>（2）本产品为保本浮动收益型理财产品，</w:t>
      </w:r>
      <w:r w:rsidRPr="0065195A">
        <w:rPr>
          <w:rFonts w:ascii="宋体" w:hAnsi="宋体" w:hint="eastAsia"/>
          <w:bCs/>
          <w:sz w:val="18"/>
          <w:szCs w:val="18"/>
        </w:rPr>
        <w:t>中国建设银行</w:t>
      </w:r>
      <w:r>
        <w:rPr>
          <w:rFonts w:ascii="宋体" w:hAnsi="宋体" w:hint="eastAsia"/>
          <w:bCs/>
          <w:sz w:val="18"/>
          <w:szCs w:val="18"/>
        </w:rPr>
        <w:t>只保障理财资金本金，不保证理财收益</w:t>
      </w:r>
      <w:r w:rsidRPr="0065195A">
        <w:rPr>
          <w:rFonts w:ascii="宋体" w:hAnsi="宋体" w:hint="eastAsia"/>
          <w:bCs/>
          <w:sz w:val="18"/>
          <w:szCs w:val="18"/>
        </w:rPr>
        <w:t>。</w:t>
      </w:r>
    </w:p>
    <w:p w:rsidR="00A143C0" w:rsidRDefault="00A143C0" w:rsidP="00A143C0">
      <w:pPr>
        <w:ind w:firstLineChars="200" w:firstLine="360"/>
        <w:rPr>
          <w:rFonts w:ascii="宋体" w:hAnsi="宋体"/>
          <w:bCs/>
          <w:sz w:val="18"/>
          <w:szCs w:val="18"/>
        </w:rPr>
      </w:pPr>
      <w:r>
        <w:rPr>
          <w:rFonts w:ascii="宋体" w:hAnsi="宋体" w:hint="eastAsia"/>
          <w:bCs/>
          <w:sz w:val="18"/>
          <w:szCs w:val="18"/>
        </w:rPr>
        <w:t>（3）产品预期年化收益率的测算依据：根据客户风险承受程度，中国建设银行借助国内银行间债券市场、货币市场、银行间外汇掉期市场投资工具设置了相应的投资组合，通过管理该投资组合，测算出本产品预期年化收益率约为</w:t>
      </w:r>
      <w:r w:rsidR="00E028D0">
        <w:rPr>
          <w:rFonts w:ascii="宋体" w:hAnsi="宋体" w:hint="eastAsia"/>
          <w:bCs/>
          <w:sz w:val="18"/>
          <w:szCs w:val="18"/>
        </w:rPr>
        <w:t>1.0</w:t>
      </w:r>
      <w:r>
        <w:rPr>
          <w:rFonts w:ascii="宋体" w:hAnsi="宋体" w:hint="eastAsia"/>
          <w:bCs/>
          <w:sz w:val="18"/>
          <w:szCs w:val="18"/>
        </w:rPr>
        <w:t>5% ，再扣除我行固定托管费用0.05%，产品的预期年化收益率为</w:t>
      </w:r>
      <w:r w:rsidR="00E028D0">
        <w:rPr>
          <w:rFonts w:ascii="宋体" w:hAnsi="宋体" w:hint="eastAsia"/>
          <w:bCs/>
          <w:sz w:val="18"/>
          <w:szCs w:val="18"/>
        </w:rPr>
        <w:t>1.00</w:t>
      </w:r>
      <w:r>
        <w:rPr>
          <w:rFonts w:ascii="宋体" w:hAnsi="宋体" w:hint="eastAsia"/>
          <w:bCs/>
          <w:sz w:val="18"/>
          <w:szCs w:val="18"/>
        </w:rPr>
        <w:t>%。如果产品实际获得的收益率达到产品预期年化收益率，则对于超出</w:t>
      </w:r>
      <w:r w:rsidR="00E028D0">
        <w:rPr>
          <w:rFonts w:ascii="宋体" w:hAnsi="宋体" w:hint="eastAsia"/>
          <w:bCs/>
          <w:sz w:val="18"/>
          <w:szCs w:val="18"/>
        </w:rPr>
        <w:t>1.00</w:t>
      </w:r>
      <w:r>
        <w:rPr>
          <w:rFonts w:ascii="宋体" w:hAnsi="宋体" w:hint="eastAsia"/>
          <w:bCs/>
          <w:sz w:val="18"/>
          <w:szCs w:val="18"/>
        </w:rPr>
        <w:t>%以上的部分将作为销售管理费，由产品发行人收取。</w:t>
      </w:r>
    </w:p>
    <w:p w:rsidR="00A143C0" w:rsidRDefault="00A143C0" w:rsidP="00A143C0">
      <w:pPr>
        <w:ind w:firstLineChars="200" w:firstLine="360"/>
        <w:rPr>
          <w:rFonts w:ascii="宋体" w:hAnsi="宋体"/>
          <w:bCs/>
          <w:sz w:val="18"/>
          <w:szCs w:val="18"/>
        </w:rPr>
      </w:pPr>
      <w:r>
        <w:rPr>
          <w:rFonts w:ascii="宋体" w:hAnsi="宋体" w:hint="eastAsia"/>
          <w:bCs/>
          <w:sz w:val="18"/>
          <w:szCs w:val="18"/>
        </w:rPr>
        <w:t>（4）风险示例：</w:t>
      </w:r>
    </w:p>
    <w:p w:rsidR="00A143C0" w:rsidRDefault="00A143C0" w:rsidP="00A143C0">
      <w:pPr>
        <w:ind w:firstLineChars="200" w:firstLine="360"/>
        <w:rPr>
          <w:rFonts w:ascii="宋体" w:hAnsi="宋体"/>
          <w:bCs/>
          <w:sz w:val="18"/>
          <w:szCs w:val="18"/>
        </w:rPr>
      </w:pPr>
      <w:r>
        <w:rPr>
          <w:rFonts w:ascii="宋体" w:hAnsi="宋体" w:hint="eastAsia"/>
          <w:bCs/>
          <w:sz w:val="18"/>
          <w:szCs w:val="18"/>
        </w:rPr>
        <w:t>如果发生风险揭示书所列事项，投资者面临收益的损失、甚至收益为零的风险。</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2、投资者所得收益</w:t>
      </w:r>
    </w:p>
    <w:p w:rsidR="00A143C0" w:rsidRDefault="00A143C0" w:rsidP="00A143C0">
      <w:pPr>
        <w:ind w:firstLineChars="100" w:firstLine="180"/>
        <w:rPr>
          <w:rFonts w:ascii="宋体" w:hAnsi="宋体"/>
          <w:bCs/>
          <w:sz w:val="18"/>
          <w:szCs w:val="18"/>
        </w:rPr>
      </w:pPr>
      <w:r>
        <w:rPr>
          <w:rFonts w:ascii="宋体" w:hAnsi="宋体" w:hint="eastAsia"/>
          <w:bCs/>
          <w:sz w:val="18"/>
          <w:szCs w:val="18"/>
        </w:rPr>
        <w:t>（1）收益计算方式：投资者所得收益=投资本金×T日即期汇率（</w:t>
      </w:r>
      <w:r w:rsidR="00E045AE">
        <w:rPr>
          <w:rFonts w:ascii="宋体" w:hAnsi="宋体" w:hint="eastAsia"/>
          <w:bCs/>
          <w:sz w:val="18"/>
          <w:szCs w:val="18"/>
        </w:rPr>
        <w:t>港币</w:t>
      </w:r>
      <w:r>
        <w:rPr>
          <w:rFonts w:ascii="宋体" w:hAnsi="宋体" w:hint="eastAsia"/>
          <w:bCs/>
          <w:sz w:val="18"/>
          <w:szCs w:val="18"/>
        </w:rPr>
        <w:t>兑人民币中间价）×产品实际获得的收益率×实际理财天数/365；但若产品实际获得的收益率超过</w:t>
      </w:r>
      <w:r w:rsidR="00E028D0">
        <w:rPr>
          <w:rFonts w:ascii="宋体" w:hAnsi="宋体" w:hint="eastAsia"/>
          <w:bCs/>
          <w:sz w:val="18"/>
          <w:szCs w:val="18"/>
        </w:rPr>
        <w:t>1.00</w:t>
      </w:r>
      <w:r>
        <w:rPr>
          <w:rFonts w:ascii="宋体" w:hAnsi="宋体" w:hint="eastAsia"/>
          <w:bCs/>
          <w:sz w:val="18"/>
          <w:szCs w:val="18"/>
        </w:rPr>
        <w:t>%的，前述公式中的“产品实际获得的收益率”按</w:t>
      </w:r>
      <w:r w:rsidR="00E028D0">
        <w:rPr>
          <w:rFonts w:ascii="宋体" w:hAnsi="宋体" w:hint="eastAsia"/>
          <w:bCs/>
          <w:sz w:val="18"/>
          <w:szCs w:val="18"/>
        </w:rPr>
        <w:t>1.00</w:t>
      </w:r>
      <w:r>
        <w:rPr>
          <w:rFonts w:ascii="宋体" w:hAnsi="宋体" w:hint="eastAsia"/>
          <w:bCs/>
          <w:sz w:val="18"/>
          <w:szCs w:val="18"/>
        </w:rPr>
        <w:t>%计算。</w:t>
      </w:r>
    </w:p>
    <w:p w:rsidR="00A143C0" w:rsidRPr="00C52C39" w:rsidRDefault="00A143C0" w:rsidP="00A143C0">
      <w:pPr>
        <w:ind w:firstLineChars="100" w:firstLine="180"/>
        <w:rPr>
          <w:rFonts w:ascii="宋体" w:hAnsi="宋体"/>
          <w:bCs/>
          <w:sz w:val="18"/>
          <w:szCs w:val="18"/>
        </w:rPr>
      </w:pPr>
      <w:r>
        <w:rPr>
          <w:rFonts w:ascii="宋体" w:hAnsi="宋体" w:hint="eastAsia"/>
          <w:bCs/>
          <w:sz w:val="18"/>
          <w:szCs w:val="18"/>
        </w:rPr>
        <w:t>（2）计算示例：假设投资本金为</w:t>
      </w:r>
      <w:r w:rsidR="00E028D0">
        <w:rPr>
          <w:rFonts w:ascii="宋体" w:hAnsi="宋体" w:hint="eastAsia"/>
          <w:bCs/>
          <w:sz w:val="18"/>
          <w:szCs w:val="18"/>
        </w:rPr>
        <w:t>70000</w:t>
      </w:r>
      <w:r w:rsidR="00E045AE">
        <w:rPr>
          <w:rFonts w:ascii="宋体" w:hAnsi="宋体" w:hint="eastAsia"/>
          <w:bCs/>
          <w:sz w:val="18"/>
          <w:szCs w:val="18"/>
        </w:rPr>
        <w:t>港币</w:t>
      </w:r>
      <w:r>
        <w:rPr>
          <w:rFonts w:ascii="宋体" w:hAnsi="宋体" w:hint="eastAsia"/>
          <w:bCs/>
          <w:sz w:val="18"/>
          <w:szCs w:val="18"/>
        </w:rPr>
        <w:t>，</w:t>
      </w:r>
      <w:r w:rsidRPr="0040031C">
        <w:rPr>
          <w:rFonts w:ascii="宋体" w:hAnsi="宋体" w:hint="eastAsia"/>
          <w:bCs/>
          <w:sz w:val="18"/>
          <w:szCs w:val="18"/>
        </w:rPr>
        <w:t>T日即期汇率：</w:t>
      </w:r>
      <w:r w:rsidR="00E028D0">
        <w:rPr>
          <w:rFonts w:ascii="宋体" w:hAnsi="宋体" w:hint="eastAsia"/>
          <w:bCs/>
          <w:sz w:val="18"/>
          <w:szCs w:val="18"/>
        </w:rPr>
        <w:t>0.80688</w:t>
      </w:r>
      <w:r w:rsidRPr="0040031C">
        <w:rPr>
          <w:rFonts w:ascii="宋体" w:hAnsi="宋体" w:hint="eastAsia"/>
          <w:bCs/>
          <w:sz w:val="18"/>
          <w:szCs w:val="18"/>
        </w:rPr>
        <w:t>，期限</w:t>
      </w:r>
      <w:r w:rsidR="00E028D0">
        <w:rPr>
          <w:rFonts w:ascii="宋体" w:hAnsi="宋体" w:hint="eastAsia"/>
          <w:bCs/>
          <w:sz w:val="18"/>
          <w:szCs w:val="18"/>
        </w:rPr>
        <w:t>180</w:t>
      </w:r>
      <w:r w:rsidRPr="0040031C">
        <w:rPr>
          <w:rFonts w:ascii="宋体" w:hAnsi="宋体" w:hint="eastAsia"/>
          <w:bCs/>
          <w:sz w:val="18"/>
          <w:szCs w:val="18"/>
        </w:rPr>
        <w:t>天，产品实际获得的收益率</w:t>
      </w:r>
      <w:r w:rsidR="00E028D0">
        <w:rPr>
          <w:rFonts w:ascii="宋体" w:hAnsi="宋体" w:hint="eastAsia"/>
          <w:bCs/>
          <w:sz w:val="18"/>
          <w:szCs w:val="18"/>
        </w:rPr>
        <w:t>1.00</w:t>
      </w:r>
      <w:r w:rsidRPr="0040031C">
        <w:rPr>
          <w:rFonts w:ascii="宋体" w:hAnsi="宋体" w:hint="eastAsia"/>
          <w:bCs/>
          <w:sz w:val="18"/>
          <w:szCs w:val="18"/>
        </w:rPr>
        <w:t>%，则投资者所得收益</w:t>
      </w:r>
      <w:r>
        <w:rPr>
          <w:rFonts w:ascii="宋体" w:hAnsi="宋体" w:hint="eastAsia"/>
          <w:bCs/>
          <w:sz w:val="18"/>
          <w:szCs w:val="18"/>
        </w:rPr>
        <w:t>=</w:t>
      </w:r>
      <w:r w:rsidR="00E028D0">
        <w:rPr>
          <w:rFonts w:ascii="宋体" w:hAnsi="宋体" w:hint="eastAsia"/>
          <w:bCs/>
          <w:sz w:val="18"/>
          <w:szCs w:val="18"/>
        </w:rPr>
        <w:t>70000</w:t>
      </w:r>
      <w:r w:rsidRPr="0040031C">
        <w:rPr>
          <w:rFonts w:ascii="宋体" w:hAnsi="宋体" w:hint="eastAsia"/>
          <w:bCs/>
          <w:sz w:val="18"/>
          <w:szCs w:val="18"/>
        </w:rPr>
        <w:t>×</w:t>
      </w:r>
      <w:r w:rsidR="00E028D0">
        <w:rPr>
          <w:rFonts w:ascii="宋体" w:hAnsi="宋体" w:hint="eastAsia"/>
          <w:bCs/>
          <w:sz w:val="18"/>
          <w:szCs w:val="18"/>
        </w:rPr>
        <w:t>0.80688</w:t>
      </w:r>
      <w:r w:rsidRPr="0040031C">
        <w:rPr>
          <w:rFonts w:ascii="宋体" w:hAnsi="宋体" w:hint="eastAsia"/>
          <w:bCs/>
          <w:sz w:val="18"/>
          <w:szCs w:val="18"/>
        </w:rPr>
        <w:t>×</w:t>
      </w:r>
      <w:r w:rsidR="00E028D0">
        <w:rPr>
          <w:rFonts w:ascii="宋体" w:hAnsi="宋体" w:hint="eastAsia"/>
          <w:bCs/>
          <w:sz w:val="18"/>
          <w:szCs w:val="18"/>
        </w:rPr>
        <w:t>1.00</w:t>
      </w:r>
      <w:r w:rsidRPr="0040031C">
        <w:rPr>
          <w:rFonts w:ascii="宋体" w:hAnsi="宋体" w:hint="eastAsia"/>
          <w:bCs/>
          <w:sz w:val="18"/>
          <w:szCs w:val="18"/>
        </w:rPr>
        <w:t>%×</w:t>
      </w:r>
      <w:r w:rsidR="00E028D0">
        <w:rPr>
          <w:rFonts w:ascii="宋体" w:hAnsi="宋体" w:hint="eastAsia"/>
          <w:bCs/>
          <w:sz w:val="18"/>
          <w:szCs w:val="18"/>
        </w:rPr>
        <w:t>180</w:t>
      </w:r>
      <w:r w:rsidRPr="0040031C">
        <w:rPr>
          <w:rFonts w:ascii="宋体" w:hAnsi="宋体" w:hint="eastAsia"/>
          <w:bCs/>
          <w:sz w:val="18"/>
          <w:szCs w:val="18"/>
        </w:rPr>
        <w:t>/365 ＝</w:t>
      </w:r>
      <w:r w:rsidR="00E028D0">
        <w:rPr>
          <w:rFonts w:ascii="宋体" w:hAnsi="宋体" w:hint="eastAsia"/>
          <w:bCs/>
          <w:sz w:val="18"/>
          <w:szCs w:val="18"/>
        </w:rPr>
        <w:t>278.54</w:t>
      </w:r>
      <w:r w:rsidRPr="005B3E07">
        <w:rPr>
          <w:rFonts w:ascii="宋体" w:hAnsi="宋体" w:hint="eastAsia"/>
          <w:bCs/>
          <w:sz w:val="18"/>
          <w:szCs w:val="18"/>
        </w:rPr>
        <w:t>元</w:t>
      </w:r>
      <w:r>
        <w:rPr>
          <w:rFonts w:ascii="宋体" w:hAnsi="宋体" w:hint="eastAsia"/>
          <w:bCs/>
          <w:sz w:val="18"/>
          <w:szCs w:val="18"/>
        </w:rPr>
        <w:t>（四舍五入）</w:t>
      </w:r>
    </w:p>
    <w:p w:rsidR="00A143C0" w:rsidRDefault="00A143C0" w:rsidP="00A143C0">
      <w:pPr>
        <w:ind w:firstLineChars="198" w:firstLine="417"/>
        <w:rPr>
          <w:b/>
          <w:szCs w:val="18"/>
        </w:rPr>
      </w:pPr>
      <w:r>
        <w:rPr>
          <w:rFonts w:hint="eastAsia"/>
          <w:b/>
          <w:szCs w:val="18"/>
        </w:rPr>
        <w:t>上述示例采用假设数据计算，测算收益不等于实际收益，投资须谨慎。</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四、费用及其收取方式</w:t>
      </w:r>
    </w:p>
    <w:p w:rsidR="00A143C0" w:rsidRPr="00F87964" w:rsidRDefault="00A143C0" w:rsidP="00A143C0">
      <w:pPr>
        <w:ind w:firstLineChars="200" w:firstLine="360"/>
        <w:rPr>
          <w:rFonts w:ascii="宋体" w:hAnsi="宋体"/>
          <w:bCs/>
          <w:sz w:val="18"/>
          <w:szCs w:val="18"/>
        </w:rPr>
      </w:pPr>
      <w:r w:rsidRPr="0065195A">
        <w:rPr>
          <w:rFonts w:ascii="宋体" w:hAnsi="宋体" w:hint="eastAsia"/>
          <w:bCs/>
          <w:sz w:val="18"/>
          <w:szCs w:val="18"/>
        </w:rPr>
        <w:t>产品托管费率：</w:t>
      </w:r>
      <w:r w:rsidRPr="00F87964">
        <w:rPr>
          <w:rFonts w:ascii="宋体" w:hAnsi="宋体" w:hint="eastAsia"/>
          <w:bCs/>
          <w:sz w:val="18"/>
          <w:szCs w:val="18"/>
        </w:rPr>
        <w:t>0.05%/年；产品运行期间，理财产品的托管费用以产品名义金额（即产品募集资金）为基础计提。产品到期后，托管费用将从产品中直接扣除。</w:t>
      </w:r>
    </w:p>
    <w:p w:rsidR="00A143C0" w:rsidRPr="00F87964" w:rsidRDefault="00A143C0" w:rsidP="00A143C0">
      <w:pPr>
        <w:ind w:firstLineChars="200" w:firstLine="360"/>
        <w:rPr>
          <w:rFonts w:ascii="宋体" w:hAnsi="宋体"/>
          <w:bCs/>
          <w:sz w:val="18"/>
          <w:szCs w:val="18"/>
        </w:rPr>
      </w:pPr>
      <w:r w:rsidRPr="00F87964">
        <w:rPr>
          <w:rFonts w:ascii="宋体" w:hAnsi="宋体" w:hint="eastAsia"/>
          <w:bCs/>
          <w:sz w:val="18"/>
          <w:szCs w:val="18"/>
        </w:rPr>
        <w:t>如果产品投资涉及信托计划，则相关费用及收取方式如下：</w:t>
      </w:r>
    </w:p>
    <w:p w:rsidR="00A143C0" w:rsidRPr="00F87964" w:rsidRDefault="00A143C0" w:rsidP="00A143C0">
      <w:pPr>
        <w:spacing w:line="300" w:lineRule="exact"/>
        <w:ind w:firstLine="420"/>
        <w:rPr>
          <w:rFonts w:ascii="宋体" w:hAnsi="宋体"/>
          <w:bCs/>
          <w:sz w:val="18"/>
          <w:szCs w:val="18"/>
        </w:rPr>
      </w:pPr>
      <w:r w:rsidRPr="00F87964">
        <w:rPr>
          <w:rFonts w:ascii="宋体" w:hAnsi="宋体" w:hint="eastAsia"/>
          <w:bCs/>
          <w:sz w:val="18"/>
          <w:szCs w:val="18"/>
        </w:rPr>
        <w:t>信托费：0.06%/年；</w:t>
      </w:r>
    </w:p>
    <w:p w:rsidR="00A143C0" w:rsidRPr="00F87964" w:rsidRDefault="00A143C0" w:rsidP="00A143C0">
      <w:pPr>
        <w:ind w:firstLineChars="250" w:firstLine="450"/>
        <w:rPr>
          <w:rFonts w:ascii="宋体" w:hAnsi="宋体"/>
          <w:bCs/>
          <w:sz w:val="18"/>
          <w:szCs w:val="18"/>
        </w:rPr>
      </w:pPr>
      <w:r w:rsidRPr="00F87964">
        <w:rPr>
          <w:rFonts w:ascii="宋体" w:hAnsi="宋体" w:hint="eastAsia"/>
          <w:bCs/>
          <w:sz w:val="18"/>
          <w:szCs w:val="18"/>
        </w:rPr>
        <w:t>信托保管费：0.05%/年；</w:t>
      </w:r>
    </w:p>
    <w:p w:rsidR="00A143C0" w:rsidRPr="003E2E67" w:rsidRDefault="00A143C0" w:rsidP="00A143C0">
      <w:pPr>
        <w:spacing w:line="300" w:lineRule="exact"/>
        <w:ind w:firstLine="420"/>
        <w:rPr>
          <w:rFonts w:ascii="宋体" w:hAnsi="宋体"/>
          <w:bCs/>
          <w:sz w:val="18"/>
          <w:szCs w:val="18"/>
        </w:rPr>
      </w:pPr>
      <w:r w:rsidRPr="00F87964">
        <w:rPr>
          <w:rFonts w:ascii="宋体" w:hAnsi="宋体" w:hint="eastAsia"/>
          <w:bCs/>
          <w:sz w:val="18"/>
          <w:szCs w:val="18"/>
        </w:rPr>
        <w:t>理财产品的信托费用及产品信托部分保管费用均以每日名义本金中投资于信托计划的部分为基础每日计提。</w:t>
      </w:r>
    </w:p>
    <w:p w:rsidR="00A143C0" w:rsidRPr="0065195A" w:rsidRDefault="00A143C0" w:rsidP="00A143C0">
      <w:pPr>
        <w:ind w:firstLineChars="200" w:firstLine="360"/>
        <w:rPr>
          <w:rFonts w:ascii="宋体" w:hAnsi="宋体"/>
          <w:bCs/>
          <w:sz w:val="18"/>
          <w:szCs w:val="18"/>
        </w:rPr>
      </w:pPr>
      <w:r>
        <w:rPr>
          <w:rFonts w:ascii="宋体" w:hAnsi="宋体" w:hint="eastAsia"/>
          <w:bCs/>
          <w:sz w:val="18"/>
          <w:szCs w:val="18"/>
        </w:rPr>
        <w:t>产品销售费：</w:t>
      </w:r>
      <w:r w:rsidRPr="0065195A">
        <w:rPr>
          <w:rFonts w:ascii="宋体" w:hAnsi="宋体" w:hint="eastAsia"/>
          <w:bCs/>
          <w:sz w:val="18"/>
          <w:szCs w:val="18"/>
        </w:rPr>
        <w:t>如果产品实际获得的收益率达到产品预期最高年化收益率，则对于超出预期最高年化收益率以上的部分将作为销售管理费，由产品发行人收取。</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五、本金及收益兑付</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1、持有到期时理财产品的本金及收益支付：</w:t>
      </w:r>
    </w:p>
    <w:p w:rsidR="00A143C0" w:rsidRPr="0065195A" w:rsidRDefault="00A143C0" w:rsidP="00A143C0">
      <w:pPr>
        <w:ind w:firstLineChars="200" w:firstLine="360"/>
        <w:rPr>
          <w:rFonts w:ascii="宋体" w:hAnsi="宋体"/>
          <w:bCs/>
          <w:sz w:val="18"/>
          <w:szCs w:val="18"/>
        </w:rPr>
      </w:pPr>
      <w:r>
        <w:rPr>
          <w:rFonts w:ascii="宋体" w:hAnsi="宋体" w:hint="eastAsia"/>
          <w:bCs/>
          <w:sz w:val="18"/>
          <w:szCs w:val="18"/>
        </w:rPr>
        <w:t>投资者本金及收益于产品到期日后的三个工作日内支付（遇法定节假日顺延），产品到期日至兑付日之间</w:t>
      </w:r>
      <w:r w:rsidRPr="0065195A">
        <w:rPr>
          <w:rFonts w:ascii="宋体" w:hAnsi="宋体" w:hint="eastAsia"/>
          <w:bCs/>
          <w:sz w:val="18"/>
          <w:szCs w:val="18"/>
        </w:rPr>
        <w:t>不计付利息</w:t>
      </w:r>
      <w:r>
        <w:rPr>
          <w:rFonts w:ascii="宋体" w:hAnsi="宋体" w:hint="eastAsia"/>
          <w:bCs/>
          <w:sz w:val="18"/>
          <w:szCs w:val="18"/>
        </w:rPr>
        <w:t>及投资收益</w:t>
      </w:r>
      <w:r w:rsidRPr="0065195A">
        <w:rPr>
          <w:rFonts w:ascii="宋体" w:hAnsi="宋体" w:hint="eastAsia"/>
          <w:bCs/>
          <w:sz w:val="18"/>
          <w:szCs w:val="18"/>
        </w:rPr>
        <w:t>。</w:t>
      </w:r>
    </w:p>
    <w:p w:rsidR="00A143C0" w:rsidRDefault="00A143C0" w:rsidP="00A143C0">
      <w:pPr>
        <w:pStyle w:val="a3"/>
        <w:spacing w:line="300" w:lineRule="exact"/>
        <w:ind w:firstLine="422"/>
        <w:rPr>
          <w:rFonts w:ascii="黑体" w:eastAsia="黑体" w:cs="黑体" w:hint="default"/>
          <w:b/>
          <w:bCs w:val="0"/>
          <w:iCs/>
          <w:color w:val="333333"/>
          <w:kern w:val="0"/>
          <w:sz w:val="21"/>
          <w:szCs w:val="21"/>
        </w:rPr>
      </w:pPr>
      <w:r>
        <w:rPr>
          <w:rFonts w:ascii="黑体" w:eastAsia="黑体" w:cs="黑体"/>
          <w:b/>
          <w:bCs w:val="0"/>
          <w:iCs/>
          <w:color w:val="333333"/>
          <w:kern w:val="0"/>
          <w:sz w:val="21"/>
          <w:szCs w:val="21"/>
        </w:rPr>
        <w:t>2、提前终止时理财产品的本金及理财收益支付：</w:t>
      </w:r>
    </w:p>
    <w:p w:rsidR="00A143C0" w:rsidRDefault="00A143C0" w:rsidP="00A143C0">
      <w:pPr>
        <w:ind w:firstLineChars="200" w:firstLine="360"/>
        <w:rPr>
          <w:rFonts w:ascii="宋体" w:hAnsi="宋体"/>
          <w:bCs/>
          <w:sz w:val="18"/>
          <w:szCs w:val="18"/>
        </w:rPr>
      </w:pPr>
      <w:r>
        <w:rPr>
          <w:rFonts w:ascii="宋体" w:hAnsi="宋体" w:hint="eastAsia"/>
          <w:bCs/>
          <w:sz w:val="18"/>
          <w:szCs w:val="18"/>
        </w:rPr>
        <w:t>如中国建设银行提前终止本理财产品，则在提前终止日后的三个工作日向投资者支付理财产品的本金及投资收益。</w:t>
      </w:r>
    </w:p>
    <w:p w:rsidR="00A143C0" w:rsidRPr="00FD3046" w:rsidRDefault="00A143C0" w:rsidP="00A143C0">
      <w:pPr>
        <w:spacing w:line="300" w:lineRule="exact"/>
        <w:ind w:firstLine="420"/>
        <w:rPr>
          <w:rFonts w:ascii="黑体" w:eastAsia="黑体"/>
          <w:b/>
          <w:szCs w:val="21"/>
        </w:rPr>
      </w:pPr>
      <w:r>
        <w:rPr>
          <w:rFonts w:ascii="宋体" w:hAnsi="宋体" w:hint="eastAsia"/>
          <w:bCs/>
          <w:sz w:val="18"/>
          <w:szCs w:val="18"/>
        </w:rPr>
        <w:t>3、</w:t>
      </w:r>
      <w:r>
        <w:rPr>
          <w:rFonts w:ascii="黑体" w:eastAsia="黑体" w:hint="eastAsia"/>
          <w:b/>
          <w:szCs w:val="21"/>
        </w:rPr>
        <w:t>非正常情况下理财产品的本金及理财收益的延期支付</w:t>
      </w:r>
    </w:p>
    <w:p w:rsidR="00A143C0" w:rsidRPr="00FD3046" w:rsidRDefault="00A143C0" w:rsidP="00A143C0">
      <w:pPr>
        <w:tabs>
          <w:tab w:val="left" w:pos="720"/>
        </w:tabs>
        <w:spacing w:line="300" w:lineRule="exact"/>
        <w:ind w:firstLine="420"/>
        <w:rPr>
          <w:rFonts w:ascii="宋体" w:hAnsi="宋体"/>
          <w:b/>
          <w:sz w:val="18"/>
          <w:szCs w:val="18"/>
        </w:rPr>
      </w:pPr>
      <w:r w:rsidRPr="00FD3046">
        <w:rPr>
          <w:rFonts w:ascii="宋体" w:hAnsi="宋体" w:hint="eastAsia"/>
          <w:b/>
          <w:sz w:val="18"/>
          <w:szCs w:val="18"/>
        </w:rPr>
        <w:t>如基</w:t>
      </w:r>
      <w:r>
        <w:rPr>
          <w:rFonts w:ascii="宋体" w:hAnsi="宋体" w:hint="eastAsia"/>
          <w:b/>
          <w:sz w:val="18"/>
          <w:szCs w:val="18"/>
        </w:rPr>
        <w:t>础资产无法及时、足额变现，中国建设银行可以根据实际情况选择向投资者</w:t>
      </w:r>
      <w:r w:rsidRPr="00FD3046">
        <w:rPr>
          <w:rFonts w:ascii="宋体" w:hAnsi="宋体" w:hint="eastAsia"/>
          <w:b/>
          <w:sz w:val="18"/>
          <w:szCs w:val="18"/>
        </w:rPr>
        <w:t>延迟兑付或者分次兑付，并于发生上述情形后的2个工作日内在中国建设银行</w:t>
      </w:r>
      <w:r w:rsidRPr="00C52E26">
        <w:rPr>
          <w:rFonts w:ascii="宋体" w:hAnsi="宋体" w:hint="eastAsia"/>
          <w:b/>
          <w:sz w:val="18"/>
          <w:szCs w:val="18"/>
        </w:rPr>
        <w:t>网站</w:t>
      </w:r>
      <w:r w:rsidRPr="00FD3046">
        <w:rPr>
          <w:rFonts w:ascii="宋体" w:hAnsi="宋体" w:hint="eastAsia"/>
          <w:b/>
          <w:sz w:val="18"/>
          <w:szCs w:val="18"/>
        </w:rPr>
        <w:t>公告兑付方案。</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六、理财产品的认购、申购及赎回</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1、认购</w:t>
      </w:r>
    </w:p>
    <w:p w:rsidR="00A143C0" w:rsidRDefault="00A143C0" w:rsidP="00A143C0">
      <w:pPr>
        <w:ind w:firstLineChars="200" w:firstLine="360"/>
        <w:rPr>
          <w:rFonts w:ascii="宋体" w:hAnsi="宋体"/>
          <w:bCs/>
          <w:sz w:val="18"/>
          <w:szCs w:val="18"/>
        </w:rPr>
      </w:pPr>
      <w:r>
        <w:rPr>
          <w:rFonts w:ascii="宋体" w:hAnsi="宋体" w:hint="eastAsia"/>
          <w:bCs/>
          <w:sz w:val="18"/>
          <w:szCs w:val="18"/>
        </w:rPr>
        <w:t>（1） 本理财产品规模：产品发行上限为</w:t>
      </w:r>
      <w:r w:rsidR="00E045AE">
        <w:rPr>
          <w:rFonts w:ascii="宋体" w:hAnsi="宋体" w:hint="eastAsia"/>
          <w:bCs/>
          <w:sz w:val="18"/>
          <w:szCs w:val="18"/>
        </w:rPr>
        <w:t>港币</w:t>
      </w:r>
      <w:r w:rsidR="00E028D0">
        <w:rPr>
          <w:rFonts w:ascii="宋体" w:hAnsi="宋体" w:hint="eastAsia"/>
          <w:bCs/>
          <w:sz w:val="18"/>
          <w:szCs w:val="18"/>
        </w:rPr>
        <w:t>8</w:t>
      </w:r>
      <w:r>
        <w:rPr>
          <w:rFonts w:ascii="宋体" w:hAnsi="宋体" w:hint="eastAsia"/>
          <w:bCs/>
          <w:sz w:val="18"/>
          <w:szCs w:val="18"/>
        </w:rPr>
        <w:t>亿。</w:t>
      </w:r>
    </w:p>
    <w:p w:rsidR="00A143C0" w:rsidRDefault="00A143C0" w:rsidP="00A143C0">
      <w:pPr>
        <w:ind w:firstLineChars="200" w:firstLine="360"/>
        <w:rPr>
          <w:rFonts w:ascii="宋体" w:hAnsi="宋体"/>
          <w:bCs/>
          <w:sz w:val="18"/>
          <w:szCs w:val="18"/>
        </w:rPr>
      </w:pPr>
      <w:r>
        <w:rPr>
          <w:rFonts w:ascii="宋体" w:hAnsi="宋体" w:hint="eastAsia"/>
          <w:bCs/>
          <w:sz w:val="18"/>
          <w:szCs w:val="18"/>
        </w:rPr>
        <w:t>（2） 本理财产品募集期间，市场发生重大变动或突发性事件时，经中国建设银行合理判断难以按照约定向投资者提供本产品时，为保护投资者利益，中国建设银行有权确定本产品不成立，并将在募集期限届满后五个工作日内返还投资者已缴纳的投资款项。在产品募集期间，如募集资金总额已达到规模上限则中国建设银行有权利但无义务停止本理财产品认购。</w:t>
      </w:r>
    </w:p>
    <w:p w:rsidR="00A143C0" w:rsidRDefault="00A143C0" w:rsidP="00A143C0">
      <w:pPr>
        <w:ind w:firstLineChars="200" w:firstLine="360"/>
        <w:rPr>
          <w:rFonts w:ascii="宋体" w:hAnsi="宋体"/>
          <w:bCs/>
          <w:sz w:val="18"/>
          <w:szCs w:val="18"/>
        </w:rPr>
      </w:pPr>
      <w:r>
        <w:rPr>
          <w:rFonts w:ascii="宋体" w:hAnsi="宋体" w:hint="eastAsia"/>
          <w:bCs/>
          <w:sz w:val="18"/>
          <w:szCs w:val="18"/>
        </w:rPr>
        <w:t>（3） 发售对象：本理财产品向依据中华人民共和国有关法律法规及其他有关规定可以购买本理财产品的合格投资者发售。</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2、本理财产品的申购和赎回</w:t>
      </w:r>
    </w:p>
    <w:p w:rsidR="00A143C0" w:rsidRDefault="00A143C0" w:rsidP="00A143C0">
      <w:pPr>
        <w:ind w:firstLineChars="200" w:firstLine="360"/>
        <w:rPr>
          <w:rFonts w:ascii="宋体" w:hAnsi="宋体"/>
          <w:bCs/>
          <w:sz w:val="18"/>
          <w:szCs w:val="18"/>
        </w:rPr>
      </w:pPr>
      <w:r>
        <w:rPr>
          <w:rFonts w:ascii="宋体" w:hAnsi="宋体" w:hint="eastAsia"/>
          <w:bCs/>
          <w:sz w:val="18"/>
          <w:szCs w:val="18"/>
        </w:rPr>
        <w:lastRenderedPageBreak/>
        <w:t>本理财产品成立后不开放申购和赎回。</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七、提前终止</w:t>
      </w:r>
    </w:p>
    <w:p w:rsidR="00A143C0" w:rsidRDefault="00A143C0" w:rsidP="00A143C0">
      <w:pPr>
        <w:ind w:firstLineChars="200" w:firstLine="422"/>
        <w:rPr>
          <w:rFonts w:ascii="宋体" w:hAnsi="宋体"/>
          <w:bCs/>
          <w:sz w:val="18"/>
          <w:szCs w:val="18"/>
        </w:rPr>
      </w:pPr>
      <w:r>
        <w:rPr>
          <w:rFonts w:ascii="黑体" w:eastAsia="黑体" w:cs="黑体" w:hint="eastAsia"/>
          <w:b/>
          <w:color w:val="333333"/>
          <w:kern w:val="0"/>
          <w:szCs w:val="21"/>
        </w:rPr>
        <w:t>1、在本产品投资期间，投资者无提前终止权，</w:t>
      </w:r>
      <w:r>
        <w:rPr>
          <w:rFonts w:ascii="宋体" w:hAnsi="宋体" w:hint="eastAsia"/>
          <w:bCs/>
          <w:sz w:val="18"/>
          <w:szCs w:val="18"/>
        </w:rPr>
        <w:t>如出现如下情形，中国建设银行有权但无义务提前终止本理财产品。一旦中国建设银行提前终止本理财产品，将提前两个工作日以公告形式通知投资者，并在提前终止日后三个工作日内向投资者返还理财本金及应得收益，应得收益按实际理财期限计算：</w:t>
      </w:r>
    </w:p>
    <w:p w:rsidR="00A143C0" w:rsidRDefault="00A143C0" w:rsidP="00A143C0">
      <w:pPr>
        <w:ind w:firstLineChars="200" w:firstLine="360"/>
        <w:rPr>
          <w:rFonts w:ascii="宋体" w:hAnsi="宋体"/>
          <w:bCs/>
          <w:sz w:val="18"/>
          <w:szCs w:val="18"/>
        </w:rPr>
      </w:pPr>
      <w:r>
        <w:rPr>
          <w:rFonts w:ascii="宋体" w:hAnsi="宋体" w:hint="eastAsia"/>
          <w:bCs/>
          <w:sz w:val="18"/>
          <w:szCs w:val="18"/>
        </w:rPr>
        <w:t>（1）如遇国家金融政策出现重大调整并影响到本理财产品的正常运作时，中国建设银行有权提前终止本理财产品。</w:t>
      </w:r>
    </w:p>
    <w:p w:rsidR="00A143C0" w:rsidRDefault="00A143C0" w:rsidP="00A143C0">
      <w:pPr>
        <w:ind w:firstLineChars="200" w:firstLine="360"/>
        <w:rPr>
          <w:rFonts w:ascii="宋体" w:hAnsi="宋体"/>
          <w:bCs/>
          <w:sz w:val="18"/>
          <w:szCs w:val="18"/>
        </w:rPr>
      </w:pPr>
      <w:r>
        <w:rPr>
          <w:rFonts w:ascii="宋体" w:hAnsi="宋体" w:hint="eastAsia"/>
          <w:bCs/>
          <w:sz w:val="18"/>
          <w:szCs w:val="18"/>
        </w:rPr>
        <w:t>（2）因市场发生极端重大变动或突发性事件等情形时，中国建设银行有权相应提前终止本理财产品。</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2、提前终止时收益计算示例</w:t>
      </w:r>
      <w:r w:rsidRPr="00B779EC">
        <w:rPr>
          <w:rFonts w:ascii="宋体" w:hAnsi="宋体" w:hint="eastAsia"/>
          <w:bCs/>
          <w:sz w:val="18"/>
          <w:szCs w:val="18"/>
        </w:rPr>
        <w:t>：</w:t>
      </w:r>
    </w:p>
    <w:p w:rsidR="00A143C0" w:rsidRDefault="00A143C0" w:rsidP="00A143C0">
      <w:pPr>
        <w:ind w:firstLineChars="200" w:firstLine="360"/>
        <w:rPr>
          <w:rFonts w:ascii="宋体" w:hAnsi="宋体"/>
          <w:bCs/>
          <w:sz w:val="18"/>
          <w:szCs w:val="18"/>
        </w:rPr>
      </w:pPr>
      <w:r>
        <w:rPr>
          <w:rFonts w:ascii="宋体" w:hAnsi="宋体" w:hint="eastAsia"/>
          <w:bCs/>
          <w:sz w:val="18"/>
          <w:szCs w:val="18"/>
        </w:rPr>
        <w:t>假设投资本金为</w:t>
      </w:r>
      <w:r w:rsidR="00E028D0">
        <w:rPr>
          <w:rFonts w:ascii="宋体" w:hAnsi="宋体" w:hint="eastAsia"/>
          <w:bCs/>
          <w:sz w:val="18"/>
          <w:szCs w:val="18"/>
        </w:rPr>
        <w:t>70000</w:t>
      </w:r>
      <w:r w:rsidR="00E045AE">
        <w:rPr>
          <w:rFonts w:ascii="宋体" w:hAnsi="宋体" w:hint="eastAsia"/>
          <w:bCs/>
          <w:sz w:val="18"/>
          <w:szCs w:val="18"/>
        </w:rPr>
        <w:t>港币</w:t>
      </w:r>
      <w:r w:rsidRPr="00B779EC">
        <w:rPr>
          <w:rFonts w:ascii="宋体" w:hAnsi="宋体" w:hint="eastAsia"/>
          <w:bCs/>
          <w:sz w:val="18"/>
          <w:szCs w:val="18"/>
        </w:rPr>
        <w:t>，T日即期汇率：</w:t>
      </w:r>
      <w:r w:rsidR="00E028D0">
        <w:rPr>
          <w:rFonts w:ascii="宋体" w:hAnsi="宋体" w:hint="eastAsia"/>
          <w:bCs/>
          <w:sz w:val="18"/>
          <w:szCs w:val="18"/>
        </w:rPr>
        <w:t>0.80688</w:t>
      </w:r>
      <w:r w:rsidRPr="00B779EC">
        <w:rPr>
          <w:rFonts w:ascii="宋体" w:hAnsi="宋体" w:hint="eastAsia"/>
          <w:bCs/>
          <w:sz w:val="18"/>
          <w:szCs w:val="18"/>
        </w:rPr>
        <w:t>，期限</w:t>
      </w:r>
      <w:r>
        <w:rPr>
          <w:rFonts w:ascii="宋体" w:hAnsi="宋体" w:hint="eastAsia"/>
          <w:bCs/>
          <w:sz w:val="18"/>
          <w:szCs w:val="18"/>
        </w:rPr>
        <w:t>30</w:t>
      </w:r>
      <w:r w:rsidRPr="00B779EC">
        <w:rPr>
          <w:rFonts w:ascii="宋体" w:hAnsi="宋体" w:hint="eastAsia"/>
          <w:bCs/>
          <w:sz w:val="18"/>
          <w:szCs w:val="18"/>
        </w:rPr>
        <w:t>天，且产品实际获得的收益率为产品预期年化收益率，则投资者所得收益</w:t>
      </w:r>
      <w:bookmarkStart w:id="2" w:name="OLE_LINK5"/>
      <w:r w:rsidRPr="00B779EC">
        <w:rPr>
          <w:rFonts w:ascii="宋体" w:hAnsi="宋体" w:hint="eastAsia"/>
          <w:bCs/>
          <w:sz w:val="18"/>
          <w:szCs w:val="18"/>
        </w:rPr>
        <w:t>＝</w:t>
      </w:r>
      <w:r w:rsidR="00E028D0">
        <w:rPr>
          <w:rFonts w:ascii="宋体" w:hAnsi="宋体" w:hint="eastAsia"/>
          <w:bCs/>
          <w:sz w:val="18"/>
          <w:szCs w:val="18"/>
        </w:rPr>
        <w:t>70000</w:t>
      </w:r>
      <w:r w:rsidRPr="00B779EC">
        <w:rPr>
          <w:rFonts w:ascii="宋体" w:hAnsi="宋体" w:hint="eastAsia"/>
          <w:bCs/>
          <w:sz w:val="18"/>
          <w:szCs w:val="18"/>
        </w:rPr>
        <w:t>×</w:t>
      </w:r>
      <w:r w:rsidR="00E028D0">
        <w:rPr>
          <w:rFonts w:ascii="宋体" w:hAnsi="宋体" w:hint="eastAsia"/>
          <w:bCs/>
          <w:sz w:val="18"/>
          <w:szCs w:val="18"/>
        </w:rPr>
        <w:t>0.80688</w:t>
      </w:r>
      <w:r w:rsidRPr="00B21267">
        <w:rPr>
          <w:rFonts w:ascii="宋体" w:hAnsi="宋体" w:hint="eastAsia"/>
          <w:bCs/>
          <w:sz w:val="18"/>
          <w:szCs w:val="18"/>
        </w:rPr>
        <w:t>×</w:t>
      </w:r>
      <w:r w:rsidR="00E028D0">
        <w:rPr>
          <w:rFonts w:ascii="宋体" w:hAnsi="宋体" w:hint="eastAsia"/>
          <w:bCs/>
          <w:sz w:val="18"/>
          <w:szCs w:val="18"/>
        </w:rPr>
        <w:t>1.00</w:t>
      </w:r>
      <w:r w:rsidRPr="00B21267">
        <w:rPr>
          <w:rFonts w:ascii="宋体" w:hAnsi="宋体" w:hint="eastAsia"/>
          <w:bCs/>
          <w:sz w:val="18"/>
          <w:szCs w:val="18"/>
        </w:rPr>
        <w:t>%×</w:t>
      </w:r>
      <w:r>
        <w:rPr>
          <w:rFonts w:ascii="宋体" w:hAnsi="宋体" w:hint="eastAsia"/>
          <w:bCs/>
          <w:sz w:val="18"/>
          <w:szCs w:val="18"/>
        </w:rPr>
        <w:t>30</w:t>
      </w:r>
      <w:r w:rsidRPr="00B21267">
        <w:rPr>
          <w:rFonts w:ascii="宋体" w:hAnsi="宋体" w:hint="eastAsia"/>
          <w:bCs/>
          <w:sz w:val="18"/>
          <w:szCs w:val="18"/>
        </w:rPr>
        <w:t>/365</w:t>
      </w:r>
      <w:bookmarkEnd w:id="2"/>
      <w:r w:rsidRPr="00B21267">
        <w:rPr>
          <w:rFonts w:ascii="宋体" w:hAnsi="宋体" w:hint="eastAsia"/>
          <w:bCs/>
          <w:sz w:val="18"/>
          <w:szCs w:val="18"/>
        </w:rPr>
        <w:t>＝</w:t>
      </w:r>
      <w:r w:rsidR="00E028D0">
        <w:rPr>
          <w:rFonts w:ascii="宋体" w:hAnsi="宋体" w:hint="eastAsia"/>
          <w:bCs/>
          <w:sz w:val="18"/>
          <w:szCs w:val="18"/>
        </w:rPr>
        <w:t>46.42</w:t>
      </w:r>
      <w:r w:rsidRPr="00B21267">
        <w:rPr>
          <w:rFonts w:ascii="宋体" w:hAnsi="宋体" w:hint="eastAsia"/>
          <w:bCs/>
          <w:sz w:val="18"/>
          <w:szCs w:val="18"/>
        </w:rPr>
        <w:t>元（四舍五入）</w:t>
      </w:r>
    </w:p>
    <w:p w:rsidR="00A143C0" w:rsidRDefault="00A143C0" w:rsidP="00A143C0">
      <w:pPr>
        <w:ind w:firstLineChars="200" w:firstLine="422"/>
        <w:rPr>
          <w:rFonts w:ascii="宋体" w:hAnsi="宋体"/>
          <w:b/>
          <w:bCs/>
          <w:sz w:val="18"/>
          <w:szCs w:val="18"/>
        </w:rPr>
      </w:pPr>
      <w:r>
        <w:rPr>
          <w:rFonts w:hint="eastAsia"/>
          <w:b/>
          <w:szCs w:val="18"/>
        </w:rPr>
        <w:t>上述示例采用假设数据计算，测算收益不等于实际收益，投资须谨慎。</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八、信息披露</w:t>
      </w:r>
    </w:p>
    <w:p w:rsidR="00A143C0" w:rsidRDefault="00A143C0" w:rsidP="00A143C0">
      <w:pPr>
        <w:tabs>
          <w:tab w:val="left" w:pos="720"/>
        </w:tabs>
        <w:spacing w:line="300" w:lineRule="exact"/>
        <w:ind w:firstLine="420"/>
        <w:rPr>
          <w:rFonts w:ascii="宋体" w:hAnsi="宋体"/>
          <w:bCs/>
          <w:sz w:val="18"/>
          <w:szCs w:val="18"/>
        </w:rPr>
      </w:pPr>
      <w:r w:rsidRPr="0065195A">
        <w:rPr>
          <w:rFonts w:ascii="宋体" w:hAnsi="宋体" w:hint="eastAsia"/>
          <w:bCs/>
          <w:sz w:val="18"/>
          <w:szCs w:val="18"/>
        </w:rPr>
        <w:t>1、</w:t>
      </w:r>
      <w:r w:rsidRPr="00EA492B">
        <w:rPr>
          <w:rFonts w:ascii="宋体" w:hAnsi="宋体" w:hint="eastAsia"/>
          <w:sz w:val="18"/>
          <w:szCs w:val="18"/>
        </w:rPr>
        <w:t>中国建设银行通过中国建设银行</w:t>
      </w:r>
      <w:r>
        <w:rPr>
          <w:rFonts w:ascii="宋体" w:hAnsi="宋体" w:hint="eastAsia"/>
          <w:sz w:val="18"/>
          <w:szCs w:val="18"/>
        </w:rPr>
        <w:t>网站</w:t>
      </w:r>
      <w:r w:rsidRPr="00E2492E">
        <w:rPr>
          <w:rFonts w:ascii="宋体" w:hAnsi="宋体" w:hint="eastAsia"/>
          <w:sz w:val="18"/>
          <w:szCs w:val="18"/>
          <w:u w:val="single"/>
        </w:rPr>
        <w:t>（</w:t>
      </w:r>
      <w:r w:rsidRPr="00E2492E">
        <w:rPr>
          <w:rFonts w:ascii="宋体" w:hAnsi="宋体" w:hint="eastAsia"/>
          <w:b/>
          <w:sz w:val="18"/>
          <w:szCs w:val="18"/>
          <w:u w:val="single"/>
        </w:rPr>
        <w:t>www.ccb.com</w:t>
      </w:r>
      <w:r w:rsidRPr="00E2492E">
        <w:rPr>
          <w:rFonts w:ascii="宋体" w:hAnsi="宋体" w:hint="eastAsia"/>
          <w:sz w:val="18"/>
          <w:szCs w:val="18"/>
          <w:u w:val="single"/>
        </w:rPr>
        <w:t>）</w:t>
      </w:r>
      <w:r>
        <w:rPr>
          <w:rFonts w:ascii="宋体" w:hAnsi="宋体" w:hint="eastAsia"/>
          <w:sz w:val="18"/>
          <w:szCs w:val="18"/>
        </w:rPr>
        <w:t>发布产品以下相关信息：在产品成立、正常终止</w:t>
      </w:r>
      <w:r w:rsidRPr="00EA492B">
        <w:rPr>
          <w:rFonts w:ascii="宋体" w:hAnsi="宋体" w:hint="eastAsia"/>
          <w:sz w:val="18"/>
          <w:szCs w:val="18"/>
        </w:rPr>
        <w:t>后的</w:t>
      </w:r>
      <w:r>
        <w:rPr>
          <w:rFonts w:ascii="宋体" w:hAnsi="宋体" w:hint="eastAsia"/>
          <w:sz w:val="18"/>
          <w:szCs w:val="18"/>
        </w:rPr>
        <w:t>10</w:t>
      </w:r>
      <w:r w:rsidRPr="00EA492B">
        <w:rPr>
          <w:rFonts w:ascii="宋体" w:hAnsi="宋体" w:hint="eastAsia"/>
          <w:sz w:val="18"/>
          <w:szCs w:val="18"/>
        </w:rPr>
        <w:t>个</w:t>
      </w:r>
      <w:r>
        <w:rPr>
          <w:rFonts w:ascii="宋体" w:hAnsi="宋体" w:hint="eastAsia"/>
          <w:sz w:val="18"/>
          <w:szCs w:val="18"/>
        </w:rPr>
        <w:t>产品</w:t>
      </w:r>
      <w:r w:rsidRPr="00EA492B">
        <w:rPr>
          <w:rFonts w:ascii="宋体" w:hAnsi="宋体" w:hint="eastAsia"/>
          <w:sz w:val="18"/>
          <w:szCs w:val="18"/>
        </w:rPr>
        <w:t>工作日内发布产品成立、产品终止</w:t>
      </w:r>
      <w:r>
        <w:rPr>
          <w:rFonts w:ascii="宋体" w:hAnsi="宋体" w:hint="eastAsia"/>
          <w:sz w:val="18"/>
          <w:szCs w:val="18"/>
        </w:rPr>
        <w:t>信息。如发生对产品产生重大影响的</w:t>
      </w:r>
      <w:r w:rsidRPr="00EA492B">
        <w:rPr>
          <w:rFonts w:ascii="宋体" w:hAnsi="宋体" w:hint="eastAsia"/>
          <w:sz w:val="18"/>
          <w:szCs w:val="18"/>
        </w:rPr>
        <w:t>情形</w:t>
      </w:r>
      <w:r>
        <w:rPr>
          <w:rFonts w:ascii="宋体" w:hAnsi="宋体" w:hint="eastAsia"/>
          <w:sz w:val="18"/>
          <w:szCs w:val="18"/>
        </w:rPr>
        <w:t>，或</w:t>
      </w:r>
      <w:r>
        <w:rPr>
          <w:rFonts w:ascii="宋体" w:hAnsi="宋体" w:hint="eastAsia"/>
          <w:bCs/>
          <w:sz w:val="18"/>
          <w:szCs w:val="18"/>
        </w:rPr>
        <w:t>如产品发生</w:t>
      </w:r>
      <w:r>
        <w:rPr>
          <w:rFonts w:ascii="宋体" w:hAnsi="宋体" w:hint="eastAsia"/>
          <w:b/>
          <w:sz w:val="18"/>
          <w:szCs w:val="18"/>
        </w:rPr>
        <w:t>延迟兑付或者分次兑付，</w:t>
      </w:r>
      <w:r w:rsidRPr="00FD3046">
        <w:rPr>
          <w:rFonts w:ascii="宋体" w:hAnsi="宋体" w:hint="eastAsia"/>
          <w:b/>
          <w:sz w:val="18"/>
          <w:szCs w:val="18"/>
        </w:rPr>
        <w:t>于发生上述情形后的2</w:t>
      </w:r>
      <w:r>
        <w:rPr>
          <w:rFonts w:ascii="宋体" w:hAnsi="宋体" w:hint="eastAsia"/>
          <w:b/>
          <w:sz w:val="18"/>
          <w:szCs w:val="18"/>
        </w:rPr>
        <w:t>个工作日内</w:t>
      </w:r>
      <w:r w:rsidRPr="00FD3046">
        <w:rPr>
          <w:rFonts w:ascii="宋体" w:hAnsi="宋体" w:hint="eastAsia"/>
          <w:b/>
          <w:sz w:val="18"/>
          <w:szCs w:val="18"/>
        </w:rPr>
        <w:t>公告兑付方案</w:t>
      </w:r>
      <w:r>
        <w:rPr>
          <w:rFonts w:ascii="宋体" w:hAnsi="宋体" w:hint="eastAsia"/>
          <w:b/>
          <w:sz w:val="18"/>
          <w:szCs w:val="18"/>
        </w:rPr>
        <w:t>；</w:t>
      </w:r>
      <w:r w:rsidRPr="00EA492B">
        <w:rPr>
          <w:rFonts w:ascii="宋体" w:hAnsi="宋体" w:hint="eastAsia"/>
          <w:sz w:val="18"/>
          <w:szCs w:val="18"/>
        </w:rPr>
        <w:t>在每季度第一个月的十五日（遇节假日顺延）后准备上个季度</w:t>
      </w:r>
      <w:r>
        <w:rPr>
          <w:rFonts w:ascii="宋体" w:hAnsi="宋体" w:hint="eastAsia"/>
          <w:sz w:val="18"/>
          <w:szCs w:val="18"/>
        </w:rPr>
        <w:t>本产品</w:t>
      </w:r>
      <w:r w:rsidRPr="00EA492B">
        <w:rPr>
          <w:rFonts w:ascii="宋体" w:hAnsi="宋体" w:hint="eastAsia"/>
          <w:sz w:val="18"/>
          <w:szCs w:val="18"/>
        </w:rPr>
        <w:t>的市场表现情况及/或相关材料；如中国建设银行行使提前终止权</w:t>
      </w:r>
      <w:r w:rsidRPr="0065195A">
        <w:rPr>
          <w:rFonts w:ascii="宋体" w:hAnsi="宋体" w:hint="eastAsia"/>
          <w:bCs/>
          <w:sz w:val="18"/>
          <w:szCs w:val="18"/>
        </w:rPr>
        <w:t>，则需在终止日前两个工作日公布《终止通知》。请投资者注意及时在上述网站上自行查询</w:t>
      </w:r>
      <w:r>
        <w:rPr>
          <w:rFonts w:ascii="宋体" w:hAnsi="宋体" w:hint="eastAsia"/>
          <w:bCs/>
          <w:sz w:val="18"/>
          <w:szCs w:val="18"/>
        </w:rPr>
        <w:t>。</w:t>
      </w:r>
    </w:p>
    <w:p w:rsidR="00A143C0" w:rsidRPr="0065195A" w:rsidRDefault="00A143C0" w:rsidP="00A143C0">
      <w:pPr>
        <w:tabs>
          <w:tab w:val="left" w:pos="720"/>
        </w:tabs>
        <w:spacing w:line="300" w:lineRule="exact"/>
        <w:ind w:firstLine="420"/>
        <w:rPr>
          <w:rFonts w:ascii="宋体" w:hAnsi="宋体"/>
          <w:bCs/>
          <w:sz w:val="18"/>
          <w:szCs w:val="18"/>
        </w:rPr>
      </w:pPr>
      <w:r w:rsidRPr="0065195A">
        <w:rPr>
          <w:rFonts w:ascii="宋体" w:hAnsi="宋体" w:hint="eastAsia"/>
          <w:bCs/>
          <w:sz w:val="18"/>
          <w:szCs w:val="18"/>
        </w:rPr>
        <w:t>2、投资者同意中国建设银行通过上述网站进行本产品的信息披露，如因投资者未及时查询而产生的（包括但不限于因未及时获知信息而错过资金使用和再投资的机会等）全部责任和风险由投资者自行承担。</w:t>
      </w:r>
    </w:p>
    <w:p w:rsidR="00A143C0" w:rsidRPr="0065195A" w:rsidRDefault="00A143C0" w:rsidP="00A143C0">
      <w:pPr>
        <w:ind w:firstLineChars="200" w:firstLine="360"/>
        <w:rPr>
          <w:rFonts w:ascii="宋体" w:hAnsi="宋体"/>
          <w:bCs/>
          <w:sz w:val="18"/>
          <w:szCs w:val="18"/>
        </w:rPr>
      </w:pPr>
      <w:r w:rsidRPr="0065195A">
        <w:rPr>
          <w:rFonts w:ascii="宋体" w:hAnsi="宋体" w:hint="eastAsia"/>
          <w:bCs/>
          <w:sz w:val="18"/>
          <w:szCs w:val="18"/>
        </w:rPr>
        <w:t>3、中国建设银行为投资者提供理财产品相关账单信息。本产品存续期间的每月第七个工作日后，个人投资者可凭本人身份证件和《中国建设银行股份有限公司理财产品客户协议书》（代理查询者还需同时提供代理人身份证件）在购买本理财产品的原中国建设银行营业网点打印理财产品相关账单信息；机构投资者可凭交易账户对应的开户印鉴、有效机构证件和《中国建设银行股份有限公司理财产品客户协议书》在购买本理财产品的原中国建设银行营业网点打印理财产品相关账单信息。</w:t>
      </w:r>
    </w:p>
    <w:p w:rsidR="00A143C0" w:rsidRPr="001F2840" w:rsidRDefault="00A143C0" w:rsidP="00A143C0"/>
    <w:p w:rsidR="00A143C0" w:rsidRPr="00C20519" w:rsidRDefault="00A143C0" w:rsidP="00A143C0"/>
    <w:p w:rsidR="0034717F" w:rsidRPr="00A143C0" w:rsidRDefault="0034717F"/>
    <w:sectPr w:rsidR="0034717F" w:rsidRPr="00A143C0" w:rsidSect="00F31191">
      <w:footerReference w:type="even" r:id="rId7"/>
      <w:footerReference w:type="default" r:id="rId8"/>
      <w:pgSz w:w="12240" w:h="15840"/>
      <w:pgMar w:top="1361" w:right="1758" w:bottom="1361" w:left="175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A48" w:rsidRDefault="00DA2A48">
      <w:r>
        <w:separator/>
      </w:r>
    </w:p>
  </w:endnote>
  <w:endnote w:type="continuationSeparator" w:id="1">
    <w:p w:rsidR="00DA2A48" w:rsidRDefault="00DA2A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黑体">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C1" w:rsidRDefault="00F31191">
    <w:pPr>
      <w:pStyle w:val="a4"/>
      <w:framePr w:wrap="around" w:vAnchor="text" w:hAnchor="margin" w:xAlign="center" w:y="1"/>
      <w:rPr>
        <w:rStyle w:val="a5"/>
      </w:rPr>
    </w:pPr>
    <w:r>
      <w:rPr>
        <w:rStyle w:val="a5"/>
      </w:rPr>
      <w:fldChar w:fldCharType="begin"/>
    </w:r>
    <w:r w:rsidR="00A143C0">
      <w:rPr>
        <w:rStyle w:val="a5"/>
      </w:rPr>
      <w:instrText xml:space="preserve">PAGE  </w:instrText>
    </w:r>
    <w:r>
      <w:rPr>
        <w:rStyle w:val="a5"/>
      </w:rPr>
      <w:fldChar w:fldCharType="end"/>
    </w:r>
  </w:p>
  <w:p w:rsidR="00E27BC1" w:rsidRDefault="00DA2A4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C1" w:rsidRDefault="00F31191">
    <w:pPr>
      <w:pStyle w:val="a4"/>
      <w:framePr w:wrap="around" w:vAnchor="text" w:hAnchor="margin" w:xAlign="center" w:y="1"/>
      <w:rPr>
        <w:rStyle w:val="a5"/>
      </w:rPr>
    </w:pPr>
    <w:r>
      <w:rPr>
        <w:rStyle w:val="a5"/>
      </w:rPr>
      <w:fldChar w:fldCharType="begin"/>
    </w:r>
    <w:r w:rsidR="00A143C0">
      <w:rPr>
        <w:rStyle w:val="a5"/>
      </w:rPr>
      <w:instrText xml:space="preserve">PAGE  </w:instrText>
    </w:r>
    <w:r>
      <w:rPr>
        <w:rStyle w:val="a5"/>
      </w:rPr>
      <w:fldChar w:fldCharType="separate"/>
    </w:r>
    <w:r w:rsidR="002D7D87">
      <w:rPr>
        <w:rStyle w:val="a5"/>
        <w:noProof/>
      </w:rPr>
      <w:t>1</w:t>
    </w:r>
    <w:r>
      <w:rPr>
        <w:rStyle w:val="a5"/>
      </w:rPr>
      <w:fldChar w:fldCharType="end"/>
    </w:r>
  </w:p>
  <w:p w:rsidR="00E27BC1" w:rsidRDefault="00DA2A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A48" w:rsidRDefault="00DA2A48">
      <w:r>
        <w:separator/>
      </w:r>
    </w:p>
  </w:footnote>
  <w:footnote w:type="continuationSeparator" w:id="1">
    <w:p w:rsidR="00DA2A48" w:rsidRDefault="00DA2A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43C0"/>
    <w:rsid w:val="0015498E"/>
    <w:rsid w:val="002D7D87"/>
    <w:rsid w:val="0034717F"/>
    <w:rsid w:val="00A143C0"/>
    <w:rsid w:val="00A546D7"/>
    <w:rsid w:val="00BC10D8"/>
    <w:rsid w:val="00CD20E7"/>
    <w:rsid w:val="00DA2A48"/>
    <w:rsid w:val="00E028D0"/>
    <w:rsid w:val="00E045AE"/>
    <w:rsid w:val="00E77F24"/>
    <w:rsid w:val="00F31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3C0"/>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143C0"/>
    <w:pPr>
      <w:adjustRightInd w:val="0"/>
      <w:snapToGrid w:val="0"/>
      <w:spacing w:line="560" w:lineRule="atLeast"/>
      <w:ind w:firstLine="624"/>
    </w:pPr>
    <w:rPr>
      <w:rFonts w:ascii="彩虹黑体" w:eastAsia="彩虹黑体" w:hint="eastAsia"/>
      <w:bCs/>
      <w:sz w:val="32"/>
    </w:rPr>
  </w:style>
  <w:style w:type="character" w:customStyle="1" w:styleId="Char">
    <w:name w:val="正文文本缩进 Char"/>
    <w:basedOn w:val="a0"/>
    <w:link w:val="a3"/>
    <w:rsid w:val="00A143C0"/>
    <w:rPr>
      <w:rFonts w:ascii="彩虹黑体" w:eastAsia="彩虹黑体" w:hAnsi="Times New Roman" w:cs="Times New Roman"/>
      <w:bCs/>
      <w:sz w:val="32"/>
      <w:szCs w:val="24"/>
    </w:rPr>
  </w:style>
  <w:style w:type="paragraph" w:styleId="a4">
    <w:name w:val="footer"/>
    <w:basedOn w:val="a"/>
    <w:link w:val="Char0"/>
    <w:rsid w:val="00A143C0"/>
    <w:pPr>
      <w:tabs>
        <w:tab w:val="center" w:pos="4153"/>
        <w:tab w:val="right" w:pos="8306"/>
      </w:tabs>
      <w:snapToGrid w:val="0"/>
      <w:jc w:val="left"/>
    </w:pPr>
    <w:rPr>
      <w:sz w:val="18"/>
      <w:szCs w:val="18"/>
    </w:rPr>
  </w:style>
  <w:style w:type="character" w:customStyle="1" w:styleId="Char0">
    <w:name w:val="页脚 Char"/>
    <w:basedOn w:val="a0"/>
    <w:link w:val="a4"/>
    <w:rsid w:val="00A143C0"/>
    <w:rPr>
      <w:rFonts w:ascii="Times New Roman" w:eastAsia="宋体" w:hAnsi="Times New Roman" w:cs="Times New Roman"/>
      <w:sz w:val="18"/>
      <w:szCs w:val="18"/>
    </w:rPr>
  </w:style>
  <w:style w:type="character" w:styleId="a5">
    <w:name w:val="page number"/>
    <w:basedOn w:val="a0"/>
    <w:rsid w:val="00A143C0"/>
  </w:style>
  <w:style w:type="paragraph" w:styleId="a6">
    <w:name w:val="Balloon Text"/>
    <w:basedOn w:val="a"/>
    <w:link w:val="Char1"/>
    <w:uiPriority w:val="99"/>
    <w:semiHidden/>
    <w:unhideWhenUsed/>
    <w:rsid w:val="00A143C0"/>
    <w:rPr>
      <w:sz w:val="18"/>
      <w:szCs w:val="18"/>
    </w:rPr>
  </w:style>
  <w:style w:type="character" w:customStyle="1" w:styleId="Char1">
    <w:name w:val="批注框文本 Char"/>
    <w:basedOn w:val="a0"/>
    <w:link w:val="a6"/>
    <w:uiPriority w:val="99"/>
    <w:semiHidden/>
    <w:rsid w:val="00A143C0"/>
    <w:rPr>
      <w:rFonts w:ascii="Times New Roman" w:eastAsia="宋体" w:hAnsi="Times New Roman" w:cs="Times New Roman"/>
      <w:sz w:val="18"/>
      <w:szCs w:val="18"/>
    </w:rPr>
  </w:style>
  <w:style w:type="paragraph" w:styleId="a7">
    <w:name w:val="header"/>
    <w:basedOn w:val="a"/>
    <w:link w:val="Char2"/>
    <w:uiPriority w:val="99"/>
    <w:unhideWhenUsed/>
    <w:rsid w:val="00E045A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045A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07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张建国</dc:creator>
  <cp:lastModifiedBy>韩伟</cp:lastModifiedBy>
  <cp:revision>6</cp:revision>
  <dcterms:created xsi:type="dcterms:W3CDTF">2013-03-25T07:37:00Z</dcterms:created>
  <dcterms:modified xsi:type="dcterms:W3CDTF">2013-04-08T07:52:00Z</dcterms:modified>
</cp:coreProperties>
</file>