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1F" w:rsidRPr="00473336" w:rsidRDefault="00E1511F" w:rsidP="00E1511F">
      <w:pPr>
        <w:widowControl/>
        <w:wordWrap w:val="0"/>
        <w:spacing w:line="460" w:lineRule="exact"/>
        <w:rPr>
          <w:rFonts w:asciiTheme="minorEastAsia" w:hAnsiTheme="minorEastAsia" w:cs="宋体"/>
          <w:b/>
          <w:color w:val="000000"/>
          <w:kern w:val="0"/>
          <w:szCs w:val="21"/>
        </w:rPr>
      </w:pPr>
      <w:bookmarkStart w:id="0" w:name="OLE_LINK2"/>
      <w:bookmarkStart w:id="1" w:name="OLE_LINK3"/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中国建设银行浙江省分行“乾元—优享”封闭净值型理财产品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2</w:t>
      </w:r>
      <w:r w:rsidRPr="00473336">
        <w:rPr>
          <w:rFonts w:asciiTheme="minorEastAsia" w:hAnsiTheme="minorEastAsia" w:cs="宋体" w:hint="eastAsia"/>
          <w:b/>
          <w:color w:val="000000"/>
          <w:kern w:val="0"/>
          <w:szCs w:val="21"/>
        </w:rPr>
        <w:t>月投资管理报告</w:t>
      </w:r>
    </w:p>
    <w:bookmarkEnd w:id="0"/>
    <w:bookmarkEnd w:id="1"/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</w:t>
      </w:r>
      <w:r w:rsidRPr="00F54BC6">
        <w:rPr>
          <w:rFonts w:asciiTheme="minorEastAsia" w:hAnsiTheme="minorEastAsia" w:cs="宋体" w:hint="eastAsia"/>
          <w:color w:val="000000"/>
          <w:kern w:val="0"/>
          <w:szCs w:val="21"/>
        </w:rPr>
        <w:t>报告日：2016年</w:t>
      </w:r>
      <w:r w:rsidR="00F54BC6" w:rsidRPr="00F54BC6">
        <w:rPr>
          <w:rFonts w:asciiTheme="minorEastAsia" w:hAnsiTheme="minorEastAsia" w:cs="宋体" w:hint="eastAsia"/>
          <w:color w:val="000000"/>
          <w:kern w:val="0"/>
          <w:szCs w:val="21"/>
        </w:rPr>
        <w:t>2</w:t>
      </w:r>
      <w:r w:rsidRPr="00F54BC6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F54BC6" w:rsidRPr="00F54BC6">
        <w:rPr>
          <w:rFonts w:asciiTheme="minorEastAsia" w:hAnsiTheme="minorEastAsia" w:cs="宋体" w:hint="eastAsia"/>
          <w:color w:val="000000"/>
          <w:kern w:val="0"/>
          <w:szCs w:val="21"/>
        </w:rPr>
        <w:t>29</w:t>
      </w:r>
      <w:r w:rsidRPr="00F54BC6"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中国建设银行浙江省分行“乾元—优享”封闭净值型理财产品2015年第1期于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2015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1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日正式成立，投资运作正常。截至报告日，目前本产品总资产规模为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300000000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份。</w:t>
      </w:r>
    </w:p>
    <w:p w:rsidR="00E1511F" w:rsidRPr="0080337E" w:rsidRDefault="00E1511F" w:rsidP="00E1511F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一、报告期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产品净值</w:t>
      </w:r>
    </w:p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截至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2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日，产品单位净值为1.0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0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产品净值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计算方法，请具体查阅产品说明书。</w:t>
      </w:r>
    </w:p>
    <w:p w:rsidR="00E1511F" w:rsidRPr="0080337E" w:rsidRDefault="00E1511F" w:rsidP="00E1511F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二、产品投资组合详细情况</w:t>
      </w:r>
    </w:p>
    <w:p w:rsidR="00E1511F" w:rsidRPr="00383A8F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（一）投资组合范围</w:t>
      </w:r>
    </w:p>
    <w:p w:rsidR="00E1511F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本产品投资于期货、期权、股票、基金等，进行（股票、国债和商品）期货与（股票、国债和商品）现货间的期现套利、跨期套利、跨品种套利和事件套利。</w:t>
      </w:r>
    </w:p>
    <w:p w:rsidR="00E1511F" w:rsidRPr="00383A8F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383A8F">
        <w:rPr>
          <w:rFonts w:asciiTheme="minorEastAsia" w:hAnsiTheme="minorEastAsia" w:cs="宋体" w:hint="eastAsia"/>
          <w:color w:val="000000"/>
          <w:kern w:val="0"/>
          <w:szCs w:val="21"/>
        </w:rPr>
        <w:t>（二）投资组合比例</w:t>
      </w:r>
    </w:p>
    <w:p w:rsidR="00E1511F" w:rsidRPr="00473336" w:rsidRDefault="00E1511F" w:rsidP="00E1511F">
      <w:pPr>
        <w:ind w:firstLineChars="100" w:firstLine="210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2016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年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2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月投资比例：</w:t>
      </w:r>
    </w:p>
    <w:p w:rsidR="00E1511F" w:rsidRPr="00473336" w:rsidRDefault="00E1511F" w:rsidP="00E1511F">
      <w:pPr>
        <w:ind w:firstLineChars="300" w:firstLine="630"/>
        <w:rPr>
          <w:rFonts w:asciiTheme="minorEastAsia" w:hAnsiTheme="minorEastAsia" w:cs="宋体"/>
          <w:color w:val="000000"/>
          <w:kern w:val="0"/>
          <w:szCs w:val="21"/>
        </w:rPr>
      </w:pP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股票：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3.21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债券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0.27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基金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59.87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%；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期货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4.59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%：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现金：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32.05</w:t>
      </w:r>
      <w:r w:rsidRPr="00473336">
        <w:rPr>
          <w:rFonts w:asciiTheme="minorEastAsia" w:hAnsiTheme="minorEastAsia" w:cs="宋体" w:hint="eastAsia"/>
          <w:color w:val="000000"/>
          <w:kern w:val="0"/>
          <w:szCs w:val="21"/>
        </w:rPr>
        <w:t>%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E1511F" w:rsidRPr="0080337E" w:rsidRDefault="00E1511F" w:rsidP="00E1511F">
      <w:pPr>
        <w:widowControl/>
        <w:wordWrap w:val="0"/>
        <w:spacing w:line="460" w:lineRule="exact"/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b/>
          <w:color w:val="000000"/>
          <w:kern w:val="0"/>
          <w:szCs w:val="21"/>
        </w:rPr>
        <w:t>三、产品整体运作情况</w:t>
      </w:r>
    </w:p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一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）自本产品成立起至本报告日，产品管理人恪尽职守、勤勉尽责、谨慎管理，忠实履行有关法律、行政法规和相关文件的规定。</w:t>
      </w:r>
    </w:p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二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）截至本报告日，所有投资资产正常运营，未发现有异常情况或者不利情况。</w:t>
      </w:r>
    </w:p>
    <w:p w:rsidR="00E1511F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（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三</w:t>
      </w:r>
      <w:r w:rsidRPr="0080337E">
        <w:rPr>
          <w:rFonts w:asciiTheme="minorEastAsia" w:hAnsiTheme="minorEastAsia" w:cs="宋体" w:hint="eastAsia"/>
          <w:color w:val="000000"/>
          <w:kern w:val="0"/>
          <w:szCs w:val="21"/>
        </w:rPr>
        <w:t>）本产品自成立至本报告日，没有发生涉诉及诉讼等损害投资者利益的情形。</w:t>
      </w:r>
    </w:p>
    <w:p w:rsidR="00E1511F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中国建设银行浙江省分行</w:t>
      </w:r>
    </w:p>
    <w:p w:rsidR="00E1511F" w:rsidRPr="0080337E" w:rsidRDefault="00E1511F" w:rsidP="00E1511F">
      <w:pPr>
        <w:widowControl/>
        <w:wordWrap w:val="0"/>
        <w:spacing w:line="460" w:lineRule="exac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               2016年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BD73B0">
        <w:rPr>
          <w:rFonts w:asciiTheme="minorEastAsia" w:hAnsiTheme="minorEastAsia" w:cs="宋体" w:hint="eastAsia"/>
          <w:color w:val="000000"/>
          <w:kern w:val="0"/>
          <w:szCs w:val="21"/>
        </w:rPr>
        <w:t>7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日</w:t>
      </w:r>
    </w:p>
    <w:p w:rsidR="00E1511F" w:rsidRPr="0080337E" w:rsidRDefault="00E1511F" w:rsidP="00E1511F"/>
    <w:p w:rsidR="005A319F" w:rsidRDefault="005A319F"/>
    <w:sectPr w:rsidR="005A319F" w:rsidSect="002D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5B" w:rsidRDefault="00540C5B" w:rsidP="00F54BC6">
      <w:pPr>
        <w:ind w:firstLine="640"/>
      </w:pPr>
      <w:r>
        <w:separator/>
      </w:r>
    </w:p>
  </w:endnote>
  <w:endnote w:type="continuationSeparator" w:id="1">
    <w:p w:rsidR="00540C5B" w:rsidRDefault="00540C5B" w:rsidP="00F54BC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5B" w:rsidRDefault="00540C5B" w:rsidP="00F54BC6">
      <w:pPr>
        <w:ind w:firstLine="640"/>
      </w:pPr>
      <w:r>
        <w:separator/>
      </w:r>
    </w:p>
  </w:footnote>
  <w:footnote w:type="continuationSeparator" w:id="1">
    <w:p w:rsidR="00540C5B" w:rsidRDefault="00540C5B" w:rsidP="00F54BC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1F"/>
    <w:rsid w:val="001F0FEB"/>
    <w:rsid w:val="00540C5B"/>
    <w:rsid w:val="005A319F"/>
    <w:rsid w:val="005D0BF1"/>
    <w:rsid w:val="008512E7"/>
    <w:rsid w:val="008C0F14"/>
    <w:rsid w:val="00BD73B0"/>
    <w:rsid w:val="00E1511F"/>
    <w:rsid w:val="00F5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黄亚南</dc:creator>
  <cp:keywords/>
  <dc:description/>
  <cp:lastModifiedBy>黄亚南</cp:lastModifiedBy>
  <cp:revision>2</cp:revision>
  <cp:lastPrinted>2016-03-07T02:50:00Z</cp:lastPrinted>
  <dcterms:created xsi:type="dcterms:W3CDTF">2016-03-07T01:28:00Z</dcterms:created>
  <dcterms:modified xsi:type="dcterms:W3CDTF">2016-03-07T05:54:00Z</dcterms:modified>
</cp:coreProperties>
</file>